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1"/>
        <w:tblW w:w="10217" w:type="dxa"/>
        <w:tblInd w:w="-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5102"/>
        <w:gridCol w:w="1685"/>
        <w:gridCol w:w="3420"/>
        <w:gridCol w:w="10"/>
      </w:tblGrid>
      <w:tr w:rsidR="00224B7D" w:rsidRPr="0096390A" w14:paraId="1FAC545A" w14:textId="77777777" w:rsidTr="008E7C2E">
        <w:tc>
          <w:tcPr>
            <w:tcW w:w="6787" w:type="dxa"/>
            <w:gridSpan w:val="2"/>
            <w:tcBorders>
              <w:top w:val="single" w:sz="18" w:space="0" w:color="002060"/>
              <w:left w:val="single" w:sz="18" w:space="0" w:color="002060"/>
              <w:bottom w:val="single" w:sz="18" w:space="0" w:color="002060"/>
              <w:right w:val="single" w:sz="18" w:space="0" w:color="002060"/>
            </w:tcBorders>
            <w:shd w:val="clear" w:color="auto" w:fill="002060"/>
            <w:vAlign w:val="center"/>
            <w:hideMark/>
          </w:tcPr>
          <w:p w14:paraId="73B32FBE" w14:textId="77777777" w:rsidR="00224B7D" w:rsidRPr="0096390A" w:rsidRDefault="00224B7D" w:rsidP="008E7C2E">
            <w:pPr>
              <w:spacing w:before="120" w:after="120" w:line="240" w:lineRule="auto"/>
              <w:ind w:left="113" w:right="113"/>
              <w:jc w:val="center"/>
              <w:rPr>
                <w:b/>
                <w:bCs/>
                <w:color w:val="FFFFFF"/>
                <w:szCs w:val="20"/>
                <w:lang w:eastAsia="en-US" w:bidi="ar-SA"/>
              </w:rPr>
            </w:pPr>
            <w:r w:rsidRPr="0096390A">
              <w:rPr>
                <w:b/>
                <w:bCs/>
                <w:color w:val="FFFFFF"/>
                <w:szCs w:val="20"/>
                <w:lang w:eastAsia="en-US" w:bidi="ar-SA"/>
              </w:rPr>
              <w:t>Contrat climat</w:t>
            </w:r>
          </w:p>
          <w:p w14:paraId="3C3B7779" w14:textId="77777777" w:rsidR="00224B7D" w:rsidRPr="0096390A" w:rsidRDefault="00224B7D" w:rsidP="008E7C2E">
            <w:pPr>
              <w:spacing w:before="120" w:after="120" w:line="240" w:lineRule="auto"/>
              <w:ind w:left="113" w:right="113"/>
              <w:jc w:val="center"/>
              <w:rPr>
                <w:b/>
                <w:bCs/>
                <w:i/>
                <w:color w:val="FFFFFF"/>
                <w:szCs w:val="20"/>
                <w:lang w:eastAsia="en-US" w:bidi="ar-SA"/>
              </w:rPr>
            </w:pPr>
            <w:r w:rsidRPr="0096390A">
              <w:rPr>
                <w:b/>
                <w:bCs/>
                <w:i/>
                <w:color w:val="FFFFFF"/>
                <w:szCs w:val="20"/>
                <w:lang w:eastAsia="en-US" w:bidi="ar-SA"/>
              </w:rPr>
              <w:t xml:space="preserve">Communications commerciales et transition écologique </w:t>
            </w:r>
          </w:p>
          <w:p w14:paraId="506322B7" w14:textId="77777777" w:rsidR="00224B7D" w:rsidRPr="0096390A" w:rsidRDefault="00224B7D" w:rsidP="008E7C2E">
            <w:pPr>
              <w:spacing w:before="120" w:after="120" w:line="240" w:lineRule="auto"/>
              <w:ind w:left="113" w:right="113"/>
              <w:jc w:val="center"/>
              <w:rPr>
                <w:b/>
                <w:bCs/>
                <w:color w:val="FFFFFF"/>
                <w:szCs w:val="20"/>
                <w:lang w:eastAsia="en-US" w:bidi="ar-SA"/>
              </w:rPr>
            </w:pPr>
          </w:p>
        </w:tc>
        <w:tc>
          <w:tcPr>
            <w:tcW w:w="3430" w:type="dxa"/>
            <w:gridSpan w:val="2"/>
            <w:vMerge w:val="restart"/>
            <w:tcBorders>
              <w:top w:val="single" w:sz="18" w:space="0" w:color="002060"/>
              <w:left w:val="single" w:sz="18" w:space="0" w:color="002060"/>
              <w:right w:val="single" w:sz="18" w:space="0" w:color="002060"/>
            </w:tcBorders>
            <w:vAlign w:val="center"/>
            <w:hideMark/>
          </w:tcPr>
          <w:p w14:paraId="0637A472" w14:textId="77777777" w:rsidR="00224B7D" w:rsidRPr="0096390A" w:rsidRDefault="00224B7D" w:rsidP="008E7C2E">
            <w:pPr>
              <w:spacing w:line="240" w:lineRule="auto"/>
              <w:ind w:right="113"/>
              <w:jc w:val="center"/>
              <w:rPr>
                <w:i/>
                <w:iCs/>
                <w:szCs w:val="20"/>
                <w:lang w:eastAsia="en-US" w:bidi="ar-SA"/>
              </w:rPr>
            </w:pPr>
            <w:r w:rsidRPr="0096390A">
              <w:rPr>
                <w:i/>
                <w:iCs/>
                <w:szCs w:val="20"/>
                <w:lang w:eastAsia="en-US" w:bidi="ar-SA"/>
              </w:rPr>
              <w:t>Logo de l’organisation</w:t>
            </w:r>
          </w:p>
        </w:tc>
      </w:tr>
      <w:tr w:rsidR="00224B7D" w:rsidRPr="0096390A" w14:paraId="504BF8C6" w14:textId="77777777" w:rsidTr="008E7C2E">
        <w:tc>
          <w:tcPr>
            <w:tcW w:w="6787" w:type="dxa"/>
            <w:gridSpan w:val="2"/>
            <w:tcBorders>
              <w:top w:val="single" w:sz="18" w:space="0" w:color="002060"/>
              <w:left w:val="single" w:sz="18" w:space="0" w:color="002060"/>
              <w:bottom w:val="single" w:sz="18" w:space="0" w:color="002060"/>
              <w:right w:val="single" w:sz="18" w:space="0" w:color="002060"/>
            </w:tcBorders>
            <w:shd w:val="clear" w:color="auto" w:fill="002060"/>
            <w:vAlign w:val="center"/>
            <w:hideMark/>
          </w:tcPr>
          <w:p w14:paraId="312CB73F" w14:textId="77777777" w:rsidR="00224B7D" w:rsidRPr="0096390A" w:rsidRDefault="00224B7D" w:rsidP="008E7C2E">
            <w:pPr>
              <w:spacing w:line="240" w:lineRule="auto"/>
              <w:ind w:left="113" w:right="113"/>
              <w:jc w:val="left"/>
              <w:rPr>
                <w:b/>
                <w:color w:val="FFFFFF"/>
                <w:szCs w:val="20"/>
                <w:lang w:eastAsia="en-US" w:bidi="ar-SA"/>
              </w:rPr>
            </w:pPr>
          </w:p>
          <w:p w14:paraId="1B7EA85B" w14:textId="77777777" w:rsidR="00224B7D" w:rsidRPr="0096390A" w:rsidRDefault="00224B7D" w:rsidP="008E7C2E">
            <w:pPr>
              <w:spacing w:line="240" w:lineRule="auto"/>
              <w:ind w:left="113" w:right="113"/>
              <w:jc w:val="left"/>
              <w:rPr>
                <w:b/>
                <w:color w:val="FFFFFF"/>
                <w:szCs w:val="20"/>
                <w:lang w:eastAsia="en-US" w:bidi="ar-SA"/>
              </w:rPr>
            </w:pPr>
            <w:r w:rsidRPr="0096390A">
              <w:rPr>
                <w:b/>
                <w:color w:val="FFFFFF"/>
                <w:szCs w:val="20"/>
                <w:lang w:eastAsia="en-US" w:bidi="ar-SA"/>
              </w:rPr>
              <w:t>Organisation signataire :</w:t>
            </w:r>
          </w:p>
        </w:tc>
        <w:tc>
          <w:tcPr>
            <w:tcW w:w="3430" w:type="dxa"/>
            <w:gridSpan w:val="2"/>
            <w:vMerge/>
            <w:tcBorders>
              <w:right w:val="single" w:sz="18" w:space="0" w:color="002060"/>
            </w:tcBorders>
            <w:vAlign w:val="center"/>
            <w:hideMark/>
          </w:tcPr>
          <w:p w14:paraId="650D74F0" w14:textId="77777777" w:rsidR="00224B7D" w:rsidRPr="0096390A" w:rsidRDefault="00224B7D" w:rsidP="008E7C2E">
            <w:pPr>
              <w:spacing w:before="0" w:after="0" w:line="240" w:lineRule="auto"/>
              <w:jc w:val="left"/>
              <w:rPr>
                <w:szCs w:val="20"/>
                <w:lang w:eastAsia="en-US" w:bidi="ar-SA"/>
              </w:rPr>
            </w:pPr>
          </w:p>
        </w:tc>
      </w:tr>
      <w:tr w:rsidR="00224B7D" w:rsidRPr="0096390A" w14:paraId="2CC326E0" w14:textId="77777777" w:rsidTr="008E7C2E">
        <w:tc>
          <w:tcPr>
            <w:tcW w:w="6787" w:type="dxa"/>
            <w:gridSpan w:val="2"/>
            <w:tcBorders>
              <w:top w:val="single" w:sz="18" w:space="0" w:color="002060"/>
              <w:left w:val="single" w:sz="18" w:space="0" w:color="002060"/>
              <w:bottom w:val="single" w:sz="18" w:space="0" w:color="002060"/>
              <w:right w:val="single" w:sz="18" w:space="0" w:color="002060"/>
            </w:tcBorders>
            <w:shd w:val="clear" w:color="auto" w:fill="002060"/>
            <w:vAlign w:val="center"/>
            <w:hideMark/>
          </w:tcPr>
          <w:p w14:paraId="0D9398C0" w14:textId="77777777" w:rsidR="00224B7D" w:rsidRPr="0096390A" w:rsidRDefault="00224B7D" w:rsidP="008E7C2E">
            <w:pPr>
              <w:spacing w:before="120" w:after="120" w:line="240" w:lineRule="auto"/>
              <w:ind w:left="113" w:right="113"/>
              <w:jc w:val="left"/>
              <w:rPr>
                <w:b/>
                <w:color w:val="FFFFFF"/>
                <w:szCs w:val="20"/>
                <w:lang w:eastAsia="en-US" w:bidi="ar-SA"/>
              </w:rPr>
            </w:pPr>
            <w:r w:rsidRPr="0096390A">
              <w:rPr>
                <w:b/>
                <w:color w:val="FFFFFF"/>
                <w:szCs w:val="20"/>
                <w:lang w:eastAsia="en-US" w:bidi="ar-SA"/>
              </w:rPr>
              <w:t>Date de signature du contrat :</w:t>
            </w:r>
          </w:p>
        </w:tc>
        <w:tc>
          <w:tcPr>
            <w:tcW w:w="3430" w:type="dxa"/>
            <w:gridSpan w:val="2"/>
            <w:vMerge/>
            <w:tcBorders>
              <w:right w:val="single" w:sz="18" w:space="0" w:color="002060"/>
            </w:tcBorders>
            <w:vAlign w:val="center"/>
            <w:hideMark/>
          </w:tcPr>
          <w:p w14:paraId="7257C8E6" w14:textId="77777777" w:rsidR="00224B7D" w:rsidRPr="0096390A" w:rsidRDefault="00224B7D" w:rsidP="008E7C2E">
            <w:pPr>
              <w:spacing w:before="0" w:after="0" w:line="240" w:lineRule="auto"/>
              <w:jc w:val="left"/>
              <w:rPr>
                <w:szCs w:val="20"/>
                <w:lang w:eastAsia="en-US" w:bidi="ar-SA"/>
              </w:rPr>
            </w:pPr>
          </w:p>
        </w:tc>
      </w:tr>
      <w:tr w:rsidR="00224B7D" w:rsidRPr="0096390A" w14:paraId="715FC18C" w14:textId="77777777" w:rsidTr="008E7C2E">
        <w:trPr>
          <w:trHeight w:val="567"/>
        </w:trPr>
        <w:tc>
          <w:tcPr>
            <w:tcW w:w="10217" w:type="dxa"/>
            <w:gridSpan w:val="4"/>
            <w:tcBorders>
              <w:top w:val="single" w:sz="18" w:space="0" w:color="002060"/>
              <w:left w:val="single" w:sz="18" w:space="0" w:color="002060"/>
              <w:bottom w:val="single" w:sz="18" w:space="0" w:color="002060"/>
              <w:right w:val="single" w:sz="18" w:space="0" w:color="002060"/>
            </w:tcBorders>
            <w:shd w:val="clear" w:color="auto" w:fill="002060"/>
            <w:vAlign w:val="center"/>
          </w:tcPr>
          <w:p w14:paraId="55B73B03" w14:textId="77777777" w:rsidR="00224B7D" w:rsidRPr="0096390A" w:rsidRDefault="00224B7D" w:rsidP="008E7C2E">
            <w:pPr>
              <w:spacing w:line="240" w:lineRule="auto"/>
              <w:ind w:left="113" w:right="113"/>
              <w:jc w:val="center"/>
              <w:rPr>
                <w:i/>
                <w:iCs/>
                <w:szCs w:val="20"/>
                <w:lang w:eastAsia="en-US" w:bidi="ar-SA"/>
              </w:rPr>
            </w:pPr>
            <w:r w:rsidRPr="0096390A">
              <w:rPr>
                <w:b/>
                <w:bCs/>
                <w:color w:val="FFFFFF" w:themeColor="background1"/>
                <w:szCs w:val="20"/>
                <w:lang w:eastAsia="en-US" w:bidi="ar-SA"/>
              </w:rPr>
              <w:t>Informations générales sur l’organisation signataire</w:t>
            </w:r>
          </w:p>
        </w:tc>
      </w:tr>
      <w:tr w:rsidR="00224B7D" w:rsidRPr="0096390A" w14:paraId="05BEDEB7" w14:textId="77777777" w:rsidTr="00224B7D">
        <w:trPr>
          <w:trHeight w:val="2674"/>
        </w:trPr>
        <w:tc>
          <w:tcPr>
            <w:tcW w:w="10217" w:type="dxa"/>
            <w:gridSpan w:val="4"/>
            <w:tcBorders>
              <w:top w:val="single" w:sz="18" w:space="0" w:color="002060"/>
              <w:left w:val="single" w:sz="18" w:space="0" w:color="002060"/>
              <w:bottom w:val="single" w:sz="18" w:space="0" w:color="002060"/>
              <w:right w:val="single" w:sz="18" w:space="0" w:color="002060"/>
            </w:tcBorders>
            <w:vAlign w:val="center"/>
          </w:tcPr>
          <w:p w14:paraId="01910170" w14:textId="77777777" w:rsidR="00224B7D" w:rsidRPr="0096390A" w:rsidRDefault="00224B7D" w:rsidP="008E7C2E">
            <w:pPr>
              <w:widowControl w:val="0"/>
              <w:autoSpaceDE w:val="0"/>
              <w:autoSpaceDN w:val="0"/>
              <w:spacing w:before="0" w:after="0" w:line="360" w:lineRule="auto"/>
              <w:rPr>
                <w:rFonts w:eastAsia="Arial"/>
                <w:b/>
                <w:bCs/>
                <w:szCs w:val="20"/>
                <w:lang w:eastAsia="en-US" w:bidi="ar-SA"/>
              </w:rPr>
            </w:pPr>
            <w:r w:rsidRPr="0096390A">
              <w:rPr>
                <w:rFonts w:eastAsia="Arial"/>
                <w:b/>
                <w:bCs/>
                <w:szCs w:val="20"/>
                <w:lang w:eastAsia="en-US" w:bidi="ar-SA"/>
              </w:rPr>
              <w:t xml:space="preserve">Dénomination sociale ou dénomination de l’organisation : </w:t>
            </w:r>
          </w:p>
          <w:p w14:paraId="32F0D69E" w14:textId="77777777" w:rsidR="00224B7D" w:rsidRPr="0096390A" w:rsidRDefault="00224B7D" w:rsidP="008E7C2E">
            <w:pPr>
              <w:widowControl w:val="0"/>
              <w:autoSpaceDE w:val="0"/>
              <w:autoSpaceDN w:val="0"/>
              <w:spacing w:before="0" w:after="0" w:line="360" w:lineRule="auto"/>
              <w:rPr>
                <w:rFonts w:eastAsia="Arial"/>
                <w:b/>
                <w:bCs/>
                <w:szCs w:val="20"/>
                <w:lang w:eastAsia="en-US" w:bidi="ar-SA"/>
              </w:rPr>
            </w:pPr>
          </w:p>
          <w:p w14:paraId="583F0C11" w14:textId="0E35E15C" w:rsidR="00224B7D" w:rsidRPr="0096390A" w:rsidRDefault="00224B7D" w:rsidP="008E7C2E">
            <w:pPr>
              <w:spacing w:line="240" w:lineRule="auto"/>
              <w:ind w:right="113"/>
              <w:rPr>
                <w:rFonts w:eastAsia="Arial"/>
                <w:b/>
                <w:bCs/>
                <w:szCs w:val="20"/>
                <w:lang w:eastAsia="en-US" w:bidi="ar-SA"/>
              </w:rPr>
            </w:pPr>
            <w:r w:rsidRPr="0096390A">
              <w:rPr>
                <w:rFonts w:eastAsia="Arial"/>
                <w:b/>
                <w:bCs/>
                <w:szCs w:val="20"/>
                <w:lang w:eastAsia="en-US" w:bidi="ar-SA"/>
              </w:rPr>
              <w:t>Organisation(s)/entreprise(s) étant concernées par ce contrat climat :</w:t>
            </w:r>
          </w:p>
        </w:tc>
      </w:tr>
      <w:tr w:rsidR="00224B7D" w:rsidRPr="0096390A" w14:paraId="02F22358" w14:textId="77777777" w:rsidTr="008E7C2E">
        <w:trPr>
          <w:trHeight w:val="567"/>
        </w:trPr>
        <w:tc>
          <w:tcPr>
            <w:tcW w:w="10217" w:type="dxa"/>
            <w:gridSpan w:val="4"/>
            <w:tcBorders>
              <w:top w:val="single" w:sz="18" w:space="0" w:color="002060"/>
              <w:left w:val="single" w:sz="18" w:space="0" w:color="002060"/>
              <w:bottom w:val="single" w:sz="18" w:space="0" w:color="002060"/>
              <w:right w:val="single" w:sz="18" w:space="0" w:color="002060"/>
            </w:tcBorders>
            <w:shd w:val="clear" w:color="auto" w:fill="002060"/>
            <w:vAlign w:val="center"/>
          </w:tcPr>
          <w:p w14:paraId="0672D399" w14:textId="77777777" w:rsidR="00224B7D" w:rsidRPr="0096390A" w:rsidRDefault="00224B7D" w:rsidP="008E7C2E">
            <w:pPr>
              <w:spacing w:line="240" w:lineRule="auto"/>
              <w:ind w:left="113" w:right="113"/>
              <w:jc w:val="center"/>
              <w:rPr>
                <w:b/>
                <w:bCs/>
                <w:color w:val="FFFFFF" w:themeColor="background1"/>
                <w:szCs w:val="20"/>
                <w:lang w:eastAsia="en-US" w:bidi="ar-SA"/>
              </w:rPr>
            </w:pPr>
            <w:r w:rsidRPr="0096390A">
              <w:rPr>
                <w:b/>
                <w:bCs/>
                <w:color w:val="FFFFFF" w:themeColor="background1"/>
                <w:szCs w:val="20"/>
                <w:lang w:eastAsia="en-US" w:bidi="ar-SA"/>
              </w:rPr>
              <w:t>Présentation du contrat climat</w:t>
            </w:r>
          </w:p>
          <w:p w14:paraId="7E2C4223" w14:textId="77777777" w:rsidR="00224B7D" w:rsidRPr="0096390A" w:rsidRDefault="00224B7D" w:rsidP="008E7C2E">
            <w:pPr>
              <w:spacing w:line="240" w:lineRule="auto"/>
              <w:ind w:left="113" w:right="113"/>
              <w:jc w:val="center"/>
              <w:rPr>
                <w:b/>
                <w:bCs/>
                <w:i/>
                <w:color w:val="FFFFFF" w:themeColor="background1"/>
                <w:szCs w:val="20"/>
                <w:lang w:eastAsia="en-US" w:bidi="ar-SA"/>
              </w:rPr>
            </w:pPr>
            <w:r w:rsidRPr="0096390A">
              <w:rPr>
                <w:b/>
                <w:bCs/>
                <w:i/>
                <w:color w:val="FFFFFF" w:themeColor="background1"/>
                <w:szCs w:val="20"/>
                <w:lang w:eastAsia="en-US" w:bidi="ar-SA"/>
              </w:rPr>
              <w:t>Section à conserver</w:t>
            </w:r>
          </w:p>
        </w:tc>
      </w:tr>
      <w:tr w:rsidR="00224B7D" w:rsidRPr="0096390A" w14:paraId="7BBB5901" w14:textId="77777777" w:rsidTr="008E7C2E">
        <w:tc>
          <w:tcPr>
            <w:tcW w:w="10217" w:type="dxa"/>
            <w:gridSpan w:val="4"/>
            <w:tcBorders>
              <w:top w:val="single" w:sz="18" w:space="0" w:color="002060"/>
              <w:left w:val="single" w:sz="18" w:space="0" w:color="002060"/>
              <w:bottom w:val="single" w:sz="18" w:space="0" w:color="002060"/>
              <w:right w:val="single" w:sz="18" w:space="0" w:color="002060"/>
            </w:tcBorders>
            <w:vAlign w:val="center"/>
          </w:tcPr>
          <w:p w14:paraId="1E42865E" w14:textId="77777777" w:rsidR="00224B7D" w:rsidRPr="0096390A" w:rsidRDefault="00224B7D" w:rsidP="008E7C2E">
            <w:pPr>
              <w:spacing w:before="0" w:after="0" w:line="240" w:lineRule="auto"/>
              <w:ind w:right="113"/>
              <w:rPr>
                <w:rFonts w:eastAsia="Times New Roman"/>
                <w:color w:val="000000"/>
                <w:szCs w:val="20"/>
                <w:lang w:bidi="ar-SA"/>
              </w:rPr>
            </w:pPr>
          </w:p>
          <w:p w14:paraId="79297BBF" w14:textId="77777777" w:rsidR="00224B7D" w:rsidRPr="0096390A" w:rsidRDefault="00224B7D" w:rsidP="008E7C2E">
            <w:pPr>
              <w:spacing w:before="0" w:after="0" w:line="240" w:lineRule="auto"/>
              <w:ind w:right="113"/>
              <w:rPr>
                <w:rFonts w:eastAsia="Times New Roman"/>
                <w:color w:val="000000"/>
                <w:szCs w:val="20"/>
                <w:lang w:bidi="ar-SA"/>
              </w:rPr>
            </w:pPr>
            <w:r w:rsidRPr="0096390A">
              <w:rPr>
                <w:rFonts w:eastAsia="Times New Roman"/>
                <w:color w:val="000000"/>
                <w:szCs w:val="20"/>
                <w:lang w:bidi="ar-SA"/>
              </w:rPr>
              <w:t xml:space="preserve">Les communications commerciales des entreprises ont un impact puissant sur les modes de consommation des Français. Elles peuvent contribuer à promouvoir les </w:t>
            </w:r>
            <w:r w:rsidRPr="0096390A">
              <w:rPr>
                <w:szCs w:val="20"/>
              </w:rPr>
              <w:t>évolutions de comportements et modes de consommation ayant moins d’impact sur l’environnement</w:t>
            </w:r>
            <w:r w:rsidRPr="0096390A">
              <w:rPr>
                <w:rFonts w:eastAsia="Times New Roman"/>
                <w:color w:val="000000"/>
                <w:szCs w:val="20"/>
                <w:lang w:bidi="ar-SA"/>
              </w:rPr>
              <w:t xml:space="preserve"> à travers les produits et services qu’elles mettent en avant, et les représentations qu’elles utilisent pour les promouvoir.</w:t>
            </w:r>
          </w:p>
          <w:p w14:paraId="477D36B0" w14:textId="77777777" w:rsidR="00224B7D" w:rsidRPr="0096390A" w:rsidRDefault="00224B7D" w:rsidP="008E7C2E">
            <w:pPr>
              <w:spacing w:before="0" w:after="0" w:line="240" w:lineRule="auto"/>
              <w:ind w:left="113" w:right="113"/>
              <w:rPr>
                <w:rFonts w:eastAsia="Times New Roman"/>
                <w:color w:val="000000"/>
                <w:szCs w:val="20"/>
                <w:lang w:bidi="ar-SA"/>
              </w:rPr>
            </w:pPr>
          </w:p>
          <w:p w14:paraId="29A7D1C9" w14:textId="77777777" w:rsidR="00224B7D" w:rsidRPr="0096390A" w:rsidRDefault="00224B7D" w:rsidP="008E7C2E">
            <w:pPr>
              <w:spacing w:before="0" w:after="0" w:line="240" w:lineRule="auto"/>
              <w:ind w:right="113"/>
              <w:rPr>
                <w:rFonts w:eastAsia="Times New Roman"/>
                <w:color w:val="000000"/>
                <w:szCs w:val="20"/>
                <w:lang w:bidi="ar-SA"/>
              </w:rPr>
            </w:pPr>
            <w:r w:rsidRPr="0096390A">
              <w:rPr>
                <w:rFonts w:eastAsia="Times New Roman"/>
                <w:color w:val="000000"/>
                <w:szCs w:val="20"/>
                <w:lang w:bidi="ar-SA"/>
              </w:rPr>
              <w:t>La publicité, en tant que secteur économique majeur en France, a aussi un rôle important à jouer en termes de réduction de ses propres émissions de gaz à effet de serre et de limitation de ses impacts sur les ressources et la biodiversité. L'implication des acteurs de ce secteur permettra notamment des évolutions structurantes en termes de conception, de production et le cas échéant, de diffusion des campagnes ainsi que de sensibilisation des publics.  En parallèle, la publicité reste un élément essentiel du financement de la production des contenus culturels, de divertissements, de l'information et de façon plus générale de l’économie des médias.</w:t>
            </w:r>
          </w:p>
          <w:p w14:paraId="2627C950" w14:textId="77777777" w:rsidR="00224B7D" w:rsidRPr="0096390A" w:rsidRDefault="00224B7D" w:rsidP="008E7C2E">
            <w:pPr>
              <w:spacing w:before="0" w:after="0" w:line="240" w:lineRule="auto"/>
              <w:ind w:left="113" w:right="113"/>
              <w:rPr>
                <w:rFonts w:eastAsia="Times New Roman"/>
                <w:color w:val="000000"/>
                <w:szCs w:val="20"/>
                <w:lang w:bidi="ar-SA"/>
              </w:rPr>
            </w:pPr>
          </w:p>
          <w:p w14:paraId="5F62CBDE" w14:textId="77777777" w:rsidR="00224B7D" w:rsidRPr="0096390A" w:rsidRDefault="00224B7D" w:rsidP="008E7C2E">
            <w:pPr>
              <w:spacing w:before="0" w:after="0" w:line="240" w:lineRule="auto"/>
              <w:ind w:right="113"/>
              <w:rPr>
                <w:rFonts w:eastAsia="Times New Roman"/>
                <w:color w:val="000000"/>
                <w:szCs w:val="20"/>
                <w:lang w:bidi="ar-SA"/>
              </w:rPr>
            </w:pPr>
            <w:r w:rsidRPr="0096390A">
              <w:rPr>
                <w:rFonts w:eastAsia="Times New Roman"/>
                <w:color w:val="000000"/>
                <w:szCs w:val="20"/>
                <w:lang w:bidi="ar-SA"/>
              </w:rPr>
              <w:t xml:space="preserve">Les acteurs de la communication et de la publicité concernés par la souscription volontaire aux contrats climat sont les suivants : </w:t>
            </w:r>
          </w:p>
          <w:p w14:paraId="6C33DA43" w14:textId="77777777" w:rsidR="00224B7D" w:rsidRPr="0096390A" w:rsidRDefault="00224B7D" w:rsidP="008E7C2E">
            <w:pPr>
              <w:spacing w:before="0" w:after="0" w:line="240" w:lineRule="auto"/>
              <w:ind w:left="113" w:right="113"/>
              <w:rPr>
                <w:rFonts w:eastAsia="Times New Roman"/>
                <w:color w:val="000000"/>
                <w:szCs w:val="20"/>
                <w:lang w:bidi="ar-SA"/>
              </w:rPr>
            </w:pPr>
          </w:p>
          <w:p w14:paraId="4081F3CC" w14:textId="42714376" w:rsidR="00224B7D" w:rsidRPr="0096390A" w:rsidRDefault="00224B7D" w:rsidP="008E7C2E">
            <w:pPr>
              <w:numPr>
                <w:ilvl w:val="0"/>
                <w:numId w:val="6"/>
              </w:numPr>
              <w:spacing w:before="0" w:after="0" w:line="240" w:lineRule="auto"/>
              <w:textAlignment w:val="baseline"/>
              <w:rPr>
                <w:rFonts w:eastAsia="Times New Roman"/>
                <w:color w:val="000000"/>
                <w:szCs w:val="20"/>
              </w:rPr>
            </w:pPr>
            <w:r w:rsidRPr="0096390A">
              <w:rPr>
                <w:rFonts w:eastAsia="Times New Roman"/>
                <w:b/>
                <w:bCs/>
                <w:color w:val="000000"/>
                <w:szCs w:val="20"/>
              </w:rPr>
              <w:t xml:space="preserve">Les annonceurs, </w:t>
            </w:r>
            <w:r w:rsidRPr="0096390A">
              <w:rPr>
                <w:rFonts w:eastAsia="Times New Roman"/>
                <w:color w:val="000000"/>
                <w:szCs w:val="20"/>
              </w:rPr>
              <w:t>organisations ou entreprises à l'origine d'une opération de communication publicitaire qui vise à promouvoir ses produits, services, activités ou marques ;</w:t>
            </w:r>
          </w:p>
          <w:p w14:paraId="4C2BA9C6" w14:textId="1E253A9F" w:rsidR="00224B7D" w:rsidRPr="0096390A" w:rsidRDefault="00224B7D" w:rsidP="008E7C2E">
            <w:pPr>
              <w:numPr>
                <w:ilvl w:val="0"/>
                <w:numId w:val="6"/>
              </w:numPr>
              <w:spacing w:before="0" w:after="0" w:line="240" w:lineRule="auto"/>
              <w:textAlignment w:val="baseline"/>
              <w:rPr>
                <w:rFonts w:eastAsia="Times New Roman"/>
                <w:color w:val="000000"/>
                <w:szCs w:val="20"/>
              </w:rPr>
            </w:pPr>
            <w:r w:rsidRPr="0096390A">
              <w:rPr>
                <w:rFonts w:eastAsia="Times New Roman"/>
                <w:b/>
                <w:bCs/>
                <w:color w:val="000000"/>
                <w:szCs w:val="20"/>
              </w:rPr>
              <w:t>Les agences de communication</w:t>
            </w:r>
            <w:r w:rsidRPr="0096390A">
              <w:rPr>
                <w:rFonts w:eastAsia="Times New Roman"/>
                <w:color w:val="000000"/>
                <w:szCs w:val="20"/>
              </w:rPr>
              <w:t xml:space="preserve"> (agences conseil et agences de production) qui conçoivent et produisent la communication des annonceurs ;</w:t>
            </w:r>
          </w:p>
          <w:p w14:paraId="68EECA2E" w14:textId="36495344" w:rsidR="00224B7D" w:rsidRPr="0096390A" w:rsidRDefault="00224B7D" w:rsidP="008E7C2E">
            <w:pPr>
              <w:numPr>
                <w:ilvl w:val="0"/>
                <w:numId w:val="6"/>
              </w:numPr>
              <w:spacing w:before="0" w:after="0" w:line="240" w:lineRule="auto"/>
              <w:textAlignment w:val="baseline"/>
              <w:rPr>
                <w:rFonts w:eastAsia="Times New Roman"/>
                <w:color w:val="000000"/>
                <w:szCs w:val="20"/>
              </w:rPr>
            </w:pPr>
            <w:r w:rsidRPr="0096390A">
              <w:rPr>
                <w:rFonts w:eastAsia="Times New Roman"/>
                <w:b/>
                <w:bCs/>
                <w:color w:val="000000"/>
                <w:szCs w:val="20"/>
              </w:rPr>
              <w:t>Les agences média</w:t>
            </w:r>
            <w:r w:rsidRPr="0096390A">
              <w:rPr>
                <w:rFonts w:eastAsia="Times New Roman"/>
                <w:color w:val="000000"/>
                <w:szCs w:val="20"/>
              </w:rPr>
              <w:t xml:space="preserve"> qui organisent les plans média et structurent la performance des campagnes pour le compte des annonceurs</w:t>
            </w:r>
            <w:r w:rsidR="0096390A">
              <w:rPr>
                <w:rFonts w:eastAsia="Times New Roman"/>
                <w:color w:val="000000"/>
                <w:szCs w:val="20"/>
              </w:rPr>
              <w:t xml:space="preserve"> ; </w:t>
            </w:r>
          </w:p>
          <w:p w14:paraId="4479AEE3" w14:textId="32695DC0" w:rsidR="00224B7D" w:rsidRPr="0096390A" w:rsidRDefault="00224B7D" w:rsidP="0096390A">
            <w:pPr>
              <w:numPr>
                <w:ilvl w:val="0"/>
                <w:numId w:val="6"/>
              </w:numPr>
              <w:spacing w:before="0" w:after="0" w:line="240" w:lineRule="auto"/>
              <w:textAlignment w:val="baseline"/>
              <w:rPr>
                <w:rFonts w:eastAsia="Times New Roman"/>
                <w:color w:val="000000"/>
                <w:szCs w:val="20"/>
              </w:rPr>
            </w:pPr>
            <w:r w:rsidRPr="0096390A">
              <w:rPr>
                <w:rFonts w:eastAsia="Times New Roman"/>
                <w:b/>
                <w:bCs/>
                <w:color w:val="000000"/>
                <w:szCs w:val="20"/>
              </w:rPr>
              <w:t>Les régies publicitaires</w:t>
            </w:r>
            <w:r w:rsidRPr="0096390A">
              <w:rPr>
                <w:rFonts w:eastAsia="Times New Roman"/>
                <w:color w:val="000000"/>
                <w:szCs w:val="20"/>
              </w:rPr>
              <w:t xml:space="preserve"> qui opèrent la commercialisation des espaces publicitaires notamment pour le compte des médias, médias de contenus éditoriaux (TV, Radio, Presse, …), plateformes numériques, sites digitaux et applications, médias de diffusion (communication extérieure, cinéma, …), médias de marketing direct ;</w:t>
            </w:r>
            <w:r w:rsidRPr="0096390A">
              <w:rPr>
                <w:szCs w:val="20"/>
              </w:rPr>
              <w:t xml:space="preserve"> </w:t>
            </w:r>
          </w:p>
          <w:p w14:paraId="591BBCA3" w14:textId="57B22536" w:rsidR="00224B7D" w:rsidRPr="0096390A" w:rsidRDefault="00224B7D" w:rsidP="0096390A">
            <w:pPr>
              <w:pStyle w:val="Paragraphedeliste"/>
              <w:numPr>
                <w:ilvl w:val="0"/>
                <w:numId w:val="6"/>
              </w:numPr>
              <w:spacing w:before="0" w:after="0" w:line="240" w:lineRule="auto"/>
              <w:textAlignment w:val="baseline"/>
              <w:rPr>
                <w:rFonts w:eastAsia="Times New Roman"/>
                <w:color w:val="000000"/>
                <w:szCs w:val="20"/>
              </w:rPr>
            </w:pPr>
            <w:r w:rsidRPr="0096390A">
              <w:rPr>
                <w:rFonts w:eastAsia="Times New Roman"/>
                <w:b/>
                <w:color w:val="000000"/>
                <w:szCs w:val="20"/>
              </w:rPr>
              <w:t>L'Autorité de régulation professionnelle de la publicité (ARPP)</w:t>
            </w:r>
            <w:r w:rsidRPr="0096390A">
              <w:rPr>
                <w:rFonts w:eastAsia="Times New Roman"/>
                <w:color w:val="000000"/>
                <w:szCs w:val="20"/>
              </w:rPr>
              <w:t>, organisme d’autorégulation du secteur de la publicité concertée avec la société civile </w:t>
            </w:r>
            <w:r w:rsidRPr="0096390A">
              <w:rPr>
                <w:rFonts w:eastAsia="Times New Roman"/>
                <w:b/>
                <w:color w:val="000000"/>
                <w:szCs w:val="20"/>
              </w:rPr>
              <w:t>;</w:t>
            </w:r>
          </w:p>
          <w:p w14:paraId="393CBDA4" w14:textId="383CD4F6" w:rsidR="0001468A" w:rsidRPr="0096390A" w:rsidRDefault="00224B7D" w:rsidP="0096390A">
            <w:pPr>
              <w:numPr>
                <w:ilvl w:val="0"/>
                <w:numId w:val="6"/>
              </w:numPr>
              <w:spacing w:before="0" w:after="0" w:line="240" w:lineRule="auto"/>
              <w:textAlignment w:val="baseline"/>
              <w:rPr>
                <w:rFonts w:eastAsia="Times New Roman"/>
                <w:color w:val="000000"/>
                <w:szCs w:val="20"/>
              </w:rPr>
            </w:pPr>
            <w:r w:rsidRPr="0096390A">
              <w:rPr>
                <w:rFonts w:eastAsia="Times New Roman"/>
                <w:b/>
                <w:color w:val="000000"/>
                <w:szCs w:val="20"/>
              </w:rPr>
              <w:t>Les organisations professionnelles</w:t>
            </w:r>
            <w:r w:rsidRPr="0096390A">
              <w:rPr>
                <w:rFonts w:eastAsia="Times New Roman"/>
                <w:color w:val="000000"/>
                <w:szCs w:val="20"/>
              </w:rPr>
              <w:t xml:space="preserve"> qui représentent des entreprises parmi tous ces secteurs ;</w:t>
            </w:r>
          </w:p>
          <w:p w14:paraId="6A440ACD" w14:textId="77777777" w:rsidR="00224B7D" w:rsidRPr="0096390A" w:rsidRDefault="00224B7D" w:rsidP="0001468A">
            <w:pPr>
              <w:numPr>
                <w:ilvl w:val="0"/>
                <w:numId w:val="6"/>
              </w:numPr>
              <w:spacing w:before="0" w:after="0" w:line="240" w:lineRule="auto"/>
              <w:textAlignment w:val="baseline"/>
              <w:rPr>
                <w:rFonts w:eastAsia="Times New Roman"/>
                <w:color w:val="000000"/>
                <w:szCs w:val="20"/>
              </w:rPr>
            </w:pPr>
            <w:r w:rsidRPr="0096390A">
              <w:rPr>
                <w:rFonts w:eastAsia="Times New Roman"/>
                <w:b/>
                <w:bCs/>
                <w:color w:val="000000"/>
                <w:szCs w:val="20"/>
              </w:rPr>
              <w:t>La Filière Communication</w:t>
            </w:r>
            <w:r w:rsidRPr="0096390A">
              <w:rPr>
                <w:rFonts w:eastAsia="Times New Roman"/>
                <w:color w:val="000000"/>
                <w:szCs w:val="20"/>
              </w:rPr>
              <w:t xml:space="preserve">, qui regroupe différents métiers de la communication, de généralistes à des « pure </w:t>
            </w:r>
            <w:proofErr w:type="spellStart"/>
            <w:r w:rsidRPr="0096390A">
              <w:rPr>
                <w:rFonts w:eastAsia="Times New Roman"/>
                <w:color w:val="000000"/>
                <w:szCs w:val="20"/>
              </w:rPr>
              <w:t>players</w:t>
            </w:r>
            <w:proofErr w:type="spellEnd"/>
            <w:r w:rsidRPr="0096390A">
              <w:rPr>
                <w:rFonts w:eastAsia="Times New Roman"/>
                <w:color w:val="000000"/>
                <w:szCs w:val="20"/>
              </w:rPr>
              <w:t xml:space="preserve"> » du secteur, d’agences (agences de publicité, de relations publiques, d’événements, agences spécialisées, agences médias) à régies (indépendantes ou appartenant à des médias).</w:t>
            </w:r>
          </w:p>
          <w:p w14:paraId="4F5F4C96" w14:textId="77777777" w:rsidR="00224B7D" w:rsidRPr="0096390A" w:rsidRDefault="00224B7D" w:rsidP="008E7C2E">
            <w:pPr>
              <w:spacing w:before="0" w:after="0" w:line="240" w:lineRule="auto"/>
              <w:textAlignment w:val="baseline"/>
              <w:rPr>
                <w:rFonts w:eastAsia="Times New Roman"/>
                <w:b/>
                <w:bCs/>
                <w:color w:val="000000"/>
                <w:szCs w:val="20"/>
              </w:rPr>
            </w:pPr>
          </w:p>
          <w:p w14:paraId="160A08D6" w14:textId="77777777" w:rsidR="00224B7D" w:rsidRPr="0096390A" w:rsidRDefault="00224B7D" w:rsidP="008E7C2E">
            <w:pPr>
              <w:spacing w:before="0" w:after="0" w:line="240" w:lineRule="auto"/>
              <w:textAlignment w:val="baseline"/>
              <w:rPr>
                <w:rFonts w:eastAsia="Times New Roman"/>
                <w:color w:val="000000"/>
                <w:szCs w:val="20"/>
              </w:rPr>
            </w:pPr>
            <w:r w:rsidRPr="0096390A">
              <w:rPr>
                <w:rFonts w:eastAsia="Times New Roman"/>
                <w:color w:val="000000"/>
                <w:szCs w:val="20"/>
              </w:rPr>
              <w:lastRenderedPageBreak/>
              <w:t>Par ailleurs, les médias de contenus éditoriaux, nationaux comme locaux entendent, à leur niveau, être acteurs de ces objectifs d’évolutions de comportements et modes de consommation ayant moins d’impact sur l’environnement à travers la sensibilisation et l’information des citoyens sur ces enjeux.</w:t>
            </w:r>
          </w:p>
          <w:p w14:paraId="1A01B444" w14:textId="77777777" w:rsidR="00224B7D" w:rsidRPr="0096390A" w:rsidRDefault="00224B7D" w:rsidP="008E7C2E">
            <w:pPr>
              <w:spacing w:before="0" w:after="0" w:line="240" w:lineRule="auto"/>
              <w:rPr>
                <w:rFonts w:eastAsia="Times New Roman"/>
                <w:color w:val="000000"/>
                <w:szCs w:val="20"/>
                <w:lang w:bidi="ar-SA"/>
              </w:rPr>
            </w:pPr>
          </w:p>
          <w:p w14:paraId="4E6D42DC" w14:textId="77777777" w:rsidR="00224B7D" w:rsidRPr="0096390A" w:rsidRDefault="00224B7D" w:rsidP="008E7C2E">
            <w:pPr>
              <w:spacing w:before="0" w:after="0" w:line="240" w:lineRule="auto"/>
              <w:ind w:right="113"/>
              <w:rPr>
                <w:rFonts w:eastAsia="Times New Roman"/>
                <w:color w:val="000000"/>
                <w:szCs w:val="20"/>
                <w:lang w:bidi="ar-SA"/>
              </w:rPr>
            </w:pPr>
            <w:r w:rsidRPr="0096390A">
              <w:rPr>
                <w:rFonts w:eastAsia="Times New Roman"/>
                <w:color w:val="000000"/>
                <w:szCs w:val="20"/>
                <w:lang w:bidi="ar-SA"/>
              </w:rPr>
              <w:t xml:space="preserve">Le code de bonne conduite appelé « contrat climat » est un outil de démarche volontaire qui vise à favoriser la transition écologique du champ de la communication commerciale, instauré par l’article 14 de la LOI n° 2021-1104 du 22 août 2021 portant lutte contre le dérèglement climatique et renforcement de la résilience face à ses effets. </w:t>
            </w:r>
          </w:p>
          <w:p w14:paraId="50AAC790" w14:textId="77777777" w:rsidR="00224B7D" w:rsidRPr="0096390A" w:rsidRDefault="00224B7D" w:rsidP="008E7C2E">
            <w:pPr>
              <w:spacing w:before="0" w:after="0" w:line="240" w:lineRule="auto"/>
              <w:rPr>
                <w:rFonts w:eastAsia="Times New Roman"/>
                <w:color w:val="000000"/>
                <w:szCs w:val="20"/>
                <w:lang w:bidi="ar-SA"/>
              </w:rPr>
            </w:pPr>
          </w:p>
          <w:p w14:paraId="42B6D0C1" w14:textId="77777777" w:rsidR="00224B7D" w:rsidRPr="0096390A" w:rsidRDefault="00224B7D" w:rsidP="008E7C2E">
            <w:pPr>
              <w:spacing w:before="0" w:after="0" w:line="240" w:lineRule="auto"/>
              <w:rPr>
                <w:rFonts w:eastAsia="Times New Roman"/>
                <w:b/>
                <w:color w:val="000000"/>
                <w:szCs w:val="20"/>
                <w:lang w:bidi="ar-SA"/>
              </w:rPr>
            </w:pPr>
            <w:r w:rsidRPr="0096390A">
              <w:rPr>
                <w:rFonts w:eastAsia="Times New Roman"/>
                <w:b/>
                <w:color w:val="000000"/>
                <w:szCs w:val="20"/>
                <w:lang w:bidi="ar-SA"/>
              </w:rPr>
              <w:t xml:space="preserve">Les contrats climats se composent du </w:t>
            </w:r>
            <w:r w:rsidRPr="0096390A">
              <w:rPr>
                <w:rFonts w:eastAsia="Times New Roman"/>
                <w:b/>
                <w:color w:val="000000"/>
                <w:szCs w:val="20"/>
                <w:u w:val="single"/>
                <w:lang w:bidi="ar-SA"/>
              </w:rPr>
              <w:t>contrat transversal</w:t>
            </w:r>
            <w:r w:rsidRPr="0096390A">
              <w:rPr>
                <w:rFonts w:eastAsia="Times New Roman"/>
                <w:b/>
                <w:color w:val="000000"/>
                <w:szCs w:val="20"/>
                <w:lang w:bidi="ar-SA"/>
              </w:rPr>
              <w:t xml:space="preserve">, qui contient des engagements génériques constituant le socle commun d’engagements, et du </w:t>
            </w:r>
            <w:r w:rsidRPr="0096390A">
              <w:rPr>
                <w:rFonts w:eastAsia="Times New Roman"/>
                <w:b/>
                <w:color w:val="000000"/>
                <w:szCs w:val="20"/>
                <w:u w:val="single"/>
                <w:lang w:bidi="ar-SA"/>
              </w:rPr>
              <w:t>contrat sectoriel</w:t>
            </w:r>
            <w:r w:rsidRPr="0096390A">
              <w:rPr>
                <w:rFonts w:eastAsia="Times New Roman"/>
                <w:b/>
                <w:color w:val="000000"/>
                <w:szCs w:val="20"/>
                <w:lang w:bidi="ar-SA"/>
              </w:rPr>
              <w:t>, qui contient des engagements précis et des indicateurs permettant d’évaluer leur mise en œuvre.</w:t>
            </w:r>
          </w:p>
          <w:p w14:paraId="7A735619" w14:textId="77777777" w:rsidR="00224B7D" w:rsidRPr="0096390A" w:rsidRDefault="00224B7D" w:rsidP="008E7C2E">
            <w:pPr>
              <w:spacing w:before="0" w:after="0" w:line="240" w:lineRule="auto"/>
              <w:ind w:right="113"/>
              <w:textAlignment w:val="baseline"/>
              <w:rPr>
                <w:rFonts w:eastAsia="Times New Roman"/>
                <w:b/>
                <w:bCs/>
                <w:color w:val="000000"/>
                <w:szCs w:val="20"/>
                <w:lang w:bidi="ar-SA"/>
              </w:rPr>
            </w:pPr>
          </w:p>
          <w:p w14:paraId="35BB030E" w14:textId="77777777" w:rsidR="00224B7D" w:rsidRPr="0096390A" w:rsidRDefault="00224B7D" w:rsidP="008E7C2E">
            <w:pPr>
              <w:spacing w:before="0" w:after="0" w:line="240" w:lineRule="auto"/>
              <w:ind w:right="113"/>
              <w:textAlignment w:val="baseline"/>
              <w:rPr>
                <w:rFonts w:eastAsia="Times New Roman"/>
                <w:color w:val="000000"/>
                <w:szCs w:val="20"/>
                <w:lang w:bidi="ar-SA"/>
              </w:rPr>
            </w:pPr>
            <w:r w:rsidRPr="0096390A">
              <w:rPr>
                <w:rFonts w:eastAsia="Times New Roman"/>
                <w:bCs/>
                <w:color w:val="000000"/>
                <w:szCs w:val="20"/>
                <w:lang w:bidi="ar-SA"/>
              </w:rPr>
              <w:t xml:space="preserve">Ces contrats sont adoptés par : </w:t>
            </w:r>
          </w:p>
          <w:p w14:paraId="6271013B" w14:textId="77777777" w:rsidR="00224B7D" w:rsidRPr="0096390A" w:rsidRDefault="00224B7D" w:rsidP="00224B7D">
            <w:pPr>
              <w:numPr>
                <w:ilvl w:val="0"/>
                <w:numId w:val="3"/>
              </w:numPr>
              <w:spacing w:before="0" w:line="240" w:lineRule="auto"/>
              <w:ind w:left="1080" w:right="113"/>
              <w:textAlignment w:val="baseline"/>
              <w:rPr>
                <w:rFonts w:eastAsia="Times New Roman"/>
                <w:color w:val="000000"/>
                <w:szCs w:val="20"/>
                <w:lang w:bidi="ar-SA"/>
              </w:rPr>
            </w:pPr>
            <w:r w:rsidRPr="0096390A">
              <w:rPr>
                <w:rFonts w:eastAsia="Times New Roman"/>
                <w:color w:val="000000"/>
                <w:szCs w:val="20"/>
                <w:lang w:bidi="ar-SA"/>
              </w:rPr>
              <w:t>Les services de communication audiovisuelle et les opérateurs de plateforme en ligne (article 14 de la Loi) ;</w:t>
            </w:r>
          </w:p>
          <w:p w14:paraId="244929C6" w14:textId="77777777" w:rsidR="00224B7D" w:rsidRPr="0096390A" w:rsidRDefault="00224B7D" w:rsidP="00224B7D">
            <w:pPr>
              <w:numPr>
                <w:ilvl w:val="0"/>
                <w:numId w:val="4"/>
              </w:numPr>
              <w:spacing w:after="0" w:line="240" w:lineRule="auto"/>
              <w:ind w:left="1080" w:right="113"/>
              <w:textAlignment w:val="baseline"/>
              <w:rPr>
                <w:rFonts w:eastAsia="Times New Roman"/>
                <w:color w:val="000000"/>
                <w:szCs w:val="20"/>
                <w:lang w:bidi="ar-SA"/>
              </w:rPr>
            </w:pPr>
            <w:r w:rsidRPr="0096390A">
              <w:rPr>
                <w:rFonts w:eastAsia="Times New Roman"/>
                <w:color w:val="000000"/>
                <w:szCs w:val="20"/>
                <w:lang w:bidi="ar-SA"/>
              </w:rPr>
              <w:t>Toute organisation (entreprise, union, fédération, etc.) :</w:t>
            </w:r>
          </w:p>
          <w:p w14:paraId="25D455A4" w14:textId="77777777" w:rsidR="00224B7D" w:rsidRPr="0096390A" w:rsidRDefault="00224B7D" w:rsidP="00224B7D">
            <w:pPr>
              <w:pStyle w:val="Paragraphedeliste"/>
              <w:numPr>
                <w:ilvl w:val="1"/>
                <w:numId w:val="4"/>
              </w:numPr>
              <w:spacing w:before="0" w:after="0" w:line="240" w:lineRule="auto"/>
              <w:ind w:right="113"/>
              <w:textAlignment w:val="baseline"/>
              <w:rPr>
                <w:rFonts w:eastAsia="Times New Roman"/>
                <w:color w:val="000000"/>
                <w:szCs w:val="20"/>
                <w:lang w:bidi="ar-SA"/>
              </w:rPr>
            </w:pPr>
            <w:r w:rsidRPr="0096390A">
              <w:rPr>
                <w:rFonts w:eastAsia="Times New Roman"/>
                <w:color w:val="000000"/>
                <w:szCs w:val="20"/>
                <w:lang w:bidi="ar-SA"/>
              </w:rPr>
              <w:t>Qui souhaite mettre en avant ses engagements pour la transition écologique dans le domaine de la publicité ;​</w:t>
            </w:r>
          </w:p>
          <w:p w14:paraId="5DE63DB5" w14:textId="77777777" w:rsidR="00224B7D" w:rsidRPr="0096390A" w:rsidRDefault="00224B7D" w:rsidP="008E7C2E">
            <w:pPr>
              <w:spacing w:before="0" w:after="0" w:line="240" w:lineRule="auto"/>
              <w:ind w:left="1080" w:right="113"/>
              <w:textAlignment w:val="baseline"/>
              <w:rPr>
                <w:rFonts w:eastAsia="Times New Roman"/>
                <w:color w:val="000000"/>
                <w:szCs w:val="20"/>
                <w:lang w:bidi="ar-SA"/>
              </w:rPr>
            </w:pPr>
            <w:proofErr w:type="gramStart"/>
            <w:r w:rsidRPr="0096390A">
              <w:rPr>
                <w:rFonts w:eastAsia="Times New Roman"/>
                <w:color w:val="000000"/>
                <w:szCs w:val="20"/>
                <w:lang w:bidi="ar-SA"/>
              </w:rPr>
              <w:t>OU</w:t>
            </w:r>
            <w:proofErr w:type="gramEnd"/>
            <w:r w:rsidRPr="0096390A">
              <w:rPr>
                <w:rFonts w:eastAsia="Times New Roman"/>
                <w:color w:val="000000"/>
                <w:szCs w:val="20"/>
                <w:lang w:bidi="ar-SA"/>
              </w:rPr>
              <w:t xml:space="preserve"> : </w:t>
            </w:r>
          </w:p>
          <w:p w14:paraId="64DA2D61" w14:textId="230279FA" w:rsidR="00224B7D" w:rsidRPr="0096390A" w:rsidRDefault="00224B7D" w:rsidP="00224B7D">
            <w:pPr>
              <w:numPr>
                <w:ilvl w:val="0"/>
                <w:numId w:val="5"/>
              </w:numPr>
              <w:spacing w:before="0" w:after="0" w:line="240" w:lineRule="auto"/>
              <w:ind w:left="1440" w:right="113"/>
              <w:textAlignment w:val="baseline"/>
              <w:rPr>
                <w:rFonts w:eastAsia="Times New Roman"/>
                <w:color w:val="000000"/>
                <w:szCs w:val="20"/>
                <w:lang w:bidi="ar-SA"/>
              </w:rPr>
            </w:pPr>
            <w:r w:rsidRPr="0096390A">
              <w:rPr>
                <w:rFonts w:eastAsia="Times New Roman"/>
                <w:color w:val="000000"/>
                <w:szCs w:val="20"/>
                <w:lang w:bidi="ar-SA"/>
              </w:rPr>
              <w:t xml:space="preserve">Qui importe, distribue ou met sur les marchés un ou plusieurs des biens et services et doit se déclarer sur la plateforme publique dédiée (article 7 de la Loi) et souhaite mettre en avant ses engagements pour la transition écologique </w:t>
            </w:r>
            <w:r w:rsidR="0001468A" w:rsidRPr="0096390A">
              <w:rPr>
                <w:rFonts w:eastAsia="Times New Roman"/>
                <w:color w:val="000000"/>
                <w:szCs w:val="20"/>
                <w:lang w:bidi="ar-SA"/>
              </w:rPr>
              <w:t xml:space="preserve">dans le domaine de la </w:t>
            </w:r>
            <w:r w:rsidR="0096390A" w:rsidRPr="0096390A">
              <w:rPr>
                <w:rFonts w:eastAsia="Times New Roman"/>
                <w:color w:val="000000"/>
                <w:szCs w:val="20"/>
                <w:lang w:bidi="ar-SA"/>
              </w:rPr>
              <w:t>publicité :</w:t>
            </w:r>
            <w:r w:rsidRPr="0096390A">
              <w:rPr>
                <w:rFonts w:eastAsia="Times New Roman"/>
                <w:color w:val="000000"/>
                <w:szCs w:val="20"/>
                <w:lang w:bidi="ar-SA"/>
              </w:rPr>
              <w:t> </w:t>
            </w:r>
          </w:p>
          <w:p w14:paraId="210BE045" w14:textId="77777777" w:rsidR="00224B7D" w:rsidRPr="0096390A" w:rsidRDefault="00224B7D" w:rsidP="00224B7D">
            <w:pPr>
              <w:numPr>
                <w:ilvl w:val="1"/>
                <w:numId w:val="5"/>
              </w:numPr>
              <w:spacing w:before="0" w:after="0" w:line="240" w:lineRule="auto"/>
              <w:ind w:left="2160" w:right="113"/>
              <w:textAlignment w:val="baseline"/>
              <w:rPr>
                <w:rFonts w:eastAsia="Times New Roman"/>
                <w:color w:val="000000"/>
                <w:szCs w:val="20"/>
                <w:lang w:bidi="ar-SA"/>
              </w:rPr>
            </w:pPr>
            <w:r w:rsidRPr="0096390A">
              <w:rPr>
                <w:rFonts w:eastAsia="Times New Roman"/>
                <w:color w:val="000000"/>
                <w:szCs w:val="20"/>
                <w:lang w:bidi="ar-SA"/>
              </w:rPr>
              <w:t>Soumis à un affichage environnemental obligatoire en application de l’article L.541-9-11</w:t>
            </w:r>
          </w:p>
          <w:p w14:paraId="5FA77E79" w14:textId="77777777" w:rsidR="00224B7D" w:rsidRPr="0096390A" w:rsidRDefault="00224B7D" w:rsidP="00224B7D">
            <w:pPr>
              <w:numPr>
                <w:ilvl w:val="1"/>
                <w:numId w:val="5"/>
              </w:numPr>
              <w:spacing w:before="0" w:after="0" w:line="240" w:lineRule="auto"/>
              <w:ind w:left="2160" w:right="113"/>
              <w:textAlignment w:val="baseline"/>
              <w:rPr>
                <w:rFonts w:eastAsia="Times New Roman"/>
                <w:color w:val="000000"/>
                <w:szCs w:val="20"/>
                <w:lang w:bidi="ar-SA"/>
              </w:rPr>
            </w:pPr>
            <w:r w:rsidRPr="0096390A">
              <w:rPr>
                <w:rFonts w:eastAsia="Times New Roman"/>
                <w:color w:val="000000"/>
                <w:szCs w:val="20"/>
                <w:lang w:bidi="ar-SA"/>
              </w:rPr>
              <w:t>Soumis à une étiquette obligatoire au titre de l'article L. 318-1 du code de la route​</w:t>
            </w:r>
          </w:p>
          <w:p w14:paraId="37ABC5C5" w14:textId="77777777" w:rsidR="00224B7D" w:rsidRPr="0096390A" w:rsidRDefault="00224B7D" w:rsidP="00224B7D">
            <w:pPr>
              <w:numPr>
                <w:ilvl w:val="1"/>
                <w:numId w:val="5"/>
              </w:numPr>
              <w:spacing w:before="0" w:line="240" w:lineRule="auto"/>
              <w:ind w:left="2160" w:right="113"/>
              <w:textAlignment w:val="baseline"/>
              <w:rPr>
                <w:rFonts w:eastAsia="Times New Roman"/>
                <w:color w:val="000000"/>
                <w:szCs w:val="20"/>
                <w:lang w:bidi="ar-SA"/>
              </w:rPr>
            </w:pPr>
            <w:r w:rsidRPr="0096390A">
              <w:rPr>
                <w:rFonts w:eastAsia="Times New Roman"/>
                <w:color w:val="000000"/>
                <w:szCs w:val="20"/>
                <w:lang w:bidi="ar-SA"/>
              </w:rPr>
              <w:t>Soumis à une étiquette énergie obligatoire au titre de l'article 16 du règlement (UE) 2017/1369 du Parlement européen et du Conseil du 4 juillet 2017</w:t>
            </w:r>
          </w:p>
          <w:p w14:paraId="53CED9ED" w14:textId="77777777" w:rsidR="00224B7D" w:rsidRPr="0096390A" w:rsidRDefault="00224B7D" w:rsidP="008E7C2E">
            <w:pPr>
              <w:spacing w:before="0" w:line="240" w:lineRule="auto"/>
              <w:ind w:left="2160" w:right="113"/>
              <w:textAlignment w:val="baseline"/>
              <w:rPr>
                <w:rFonts w:eastAsia="Times New Roman"/>
                <w:color w:val="000000"/>
                <w:szCs w:val="20"/>
                <w:lang w:bidi="ar-SA"/>
              </w:rPr>
            </w:pPr>
          </w:p>
          <w:p w14:paraId="418B3E40" w14:textId="77777777" w:rsidR="00224B7D" w:rsidRPr="0096390A" w:rsidRDefault="00224B7D" w:rsidP="008E7C2E">
            <w:pPr>
              <w:spacing w:before="0" w:after="0" w:line="240" w:lineRule="auto"/>
              <w:rPr>
                <w:rFonts w:eastAsia="Times New Roman"/>
                <w:color w:val="000000"/>
                <w:szCs w:val="20"/>
                <w:lang w:bidi="ar-SA"/>
              </w:rPr>
            </w:pPr>
            <w:r w:rsidRPr="0096390A">
              <w:rPr>
                <w:rFonts w:eastAsia="Times New Roman"/>
                <w:color w:val="000000"/>
                <w:szCs w:val="20"/>
                <w:lang w:bidi="ar-SA"/>
              </w:rPr>
              <w:t>Ils peuvent être signés par tout type d’organisation (entreprise, union, fédération, etc.).</w:t>
            </w:r>
          </w:p>
          <w:p w14:paraId="15DFFF56" w14:textId="77777777" w:rsidR="00224B7D" w:rsidRPr="0096390A" w:rsidRDefault="00224B7D" w:rsidP="008E7C2E">
            <w:pPr>
              <w:spacing w:before="0" w:after="0" w:line="240" w:lineRule="auto"/>
              <w:rPr>
                <w:rFonts w:eastAsia="Times New Roman"/>
                <w:color w:val="000000"/>
                <w:szCs w:val="20"/>
                <w:lang w:bidi="ar-SA"/>
              </w:rPr>
            </w:pPr>
          </w:p>
          <w:p w14:paraId="4D5330CD" w14:textId="77777777" w:rsidR="00224B7D" w:rsidRPr="0096390A" w:rsidRDefault="00224B7D" w:rsidP="008E7C2E">
            <w:pPr>
              <w:spacing w:before="0" w:after="0" w:line="240" w:lineRule="auto"/>
              <w:rPr>
                <w:rFonts w:eastAsia="Times New Roman"/>
                <w:color w:val="000000"/>
                <w:szCs w:val="20"/>
                <w:lang w:bidi="ar-SA"/>
              </w:rPr>
            </w:pPr>
            <w:r w:rsidRPr="0096390A">
              <w:rPr>
                <w:rFonts w:eastAsia="Times New Roman"/>
                <w:color w:val="000000"/>
                <w:szCs w:val="20"/>
                <w:lang w:bidi="ar-SA"/>
              </w:rPr>
              <w:t>S’agissant du contrat sectoriel, il peut comporter un volet signé par la « branche professionnelle / fédération / association », ou par ses représentants, ainsi qu’un volet signé par une entreprise, si elle le souhaite, qui formule ses propres engagements et indicateurs, qui viendra en complément du premier volet s’il en existe un.</w:t>
            </w:r>
          </w:p>
          <w:p w14:paraId="0B8408E9" w14:textId="77777777" w:rsidR="00224B7D" w:rsidRPr="0096390A" w:rsidRDefault="00224B7D" w:rsidP="008E7C2E">
            <w:pPr>
              <w:spacing w:before="0" w:after="0" w:line="240" w:lineRule="auto"/>
              <w:rPr>
                <w:rFonts w:eastAsia="Times New Roman"/>
                <w:color w:val="000000"/>
                <w:szCs w:val="20"/>
                <w:lang w:bidi="ar-SA"/>
              </w:rPr>
            </w:pPr>
          </w:p>
          <w:p w14:paraId="63567D5A" w14:textId="77777777" w:rsidR="00224B7D" w:rsidRPr="0096390A" w:rsidRDefault="00224B7D" w:rsidP="008E7C2E">
            <w:pPr>
              <w:spacing w:before="0" w:after="0" w:line="240" w:lineRule="auto"/>
              <w:ind w:right="113"/>
              <w:rPr>
                <w:rFonts w:eastAsia="Times New Roman"/>
                <w:color w:val="000000"/>
                <w:szCs w:val="20"/>
                <w:lang w:bidi="ar-SA"/>
              </w:rPr>
            </w:pPr>
            <w:r w:rsidRPr="0096390A">
              <w:rPr>
                <w:rFonts w:eastAsia="Times New Roman"/>
                <w:color w:val="000000"/>
                <w:szCs w:val="20"/>
                <w:lang w:bidi="ar-SA"/>
              </w:rPr>
              <w:t xml:space="preserve">Les contrats sont publiés le 15 juillet, sur la plateforme </w:t>
            </w:r>
            <w:hyperlink r:id="rId7" w:history="1">
              <w:r w:rsidRPr="0096390A">
                <w:rPr>
                  <w:rStyle w:val="Lienhypertexte"/>
                  <w:rFonts w:eastAsia="Times New Roman"/>
                  <w:szCs w:val="20"/>
                  <w:lang w:bidi="ar-SA"/>
                </w:rPr>
                <w:t>www.publicite-responsable.ecologie.gouv.fr</w:t>
              </w:r>
            </w:hyperlink>
            <w:r w:rsidRPr="0096390A">
              <w:rPr>
                <w:rFonts w:eastAsia="Times New Roman"/>
                <w:color w:val="000000"/>
                <w:szCs w:val="20"/>
                <w:lang w:bidi="ar-SA"/>
              </w:rPr>
              <w:t xml:space="preserve"> et doivent être déposés avant le 30 juin, chaque année. Cette plateforme permet également d’accéder à la déclaration prévue par l’article 7 de la Loi.</w:t>
            </w:r>
          </w:p>
          <w:p w14:paraId="0813D412" w14:textId="77777777" w:rsidR="00224B7D" w:rsidRPr="0096390A" w:rsidRDefault="00224B7D" w:rsidP="00666660">
            <w:pPr>
              <w:spacing w:before="0" w:after="0" w:line="240" w:lineRule="auto"/>
              <w:ind w:right="113"/>
              <w:rPr>
                <w:rFonts w:eastAsia="Times New Roman"/>
                <w:color w:val="000000"/>
                <w:szCs w:val="20"/>
                <w:lang w:bidi="ar-SA"/>
              </w:rPr>
            </w:pPr>
          </w:p>
        </w:tc>
      </w:tr>
      <w:tr w:rsidR="00224B7D" w:rsidRPr="0096390A" w14:paraId="504D2F85" w14:textId="77777777" w:rsidTr="008E7C2E">
        <w:trPr>
          <w:trHeight w:val="850"/>
        </w:trPr>
        <w:tc>
          <w:tcPr>
            <w:tcW w:w="10217" w:type="dxa"/>
            <w:gridSpan w:val="4"/>
            <w:tcBorders>
              <w:top w:val="single" w:sz="18" w:space="0" w:color="002060"/>
              <w:left w:val="single" w:sz="18" w:space="0" w:color="002060"/>
              <w:bottom w:val="single" w:sz="18" w:space="0" w:color="002060"/>
              <w:right w:val="single" w:sz="18" w:space="0" w:color="002060"/>
            </w:tcBorders>
            <w:shd w:val="clear" w:color="auto" w:fill="002060"/>
            <w:vAlign w:val="center"/>
            <w:hideMark/>
          </w:tcPr>
          <w:p w14:paraId="5D526A7B" w14:textId="77777777" w:rsidR="00224B7D" w:rsidRPr="0096390A" w:rsidRDefault="00224B7D" w:rsidP="008E7C2E">
            <w:pPr>
              <w:spacing w:line="240" w:lineRule="auto"/>
              <w:ind w:right="113"/>
              <w:contextualSpacing/>
              <w:jc w:val="center"/>
              <w:rPr>
                <w:b/>
                <w:bCs/>
                <w:noProof/>
                <w:szCs w:val="20"/>
                <w:lang w:eastAsia="en-US" w:bidi="ar-SA"/>
              </w:rPr>
            </w:pPr>
            <w:r w:rsidRPr="0096390A">
              <w:rPr>
                <w:b/>
                <w:bCs/>
                <w:noProof/>
                <w:szCs w:val="20"/>
                <w:lang w:eastAsia="en-US" w:bidi="ar-SA"/>
              </w:rPr>
              <w:lastRenderedPageBreak/>
              <w:t>Contrat transversal</w:t>
            </w:r>
          </w:p>
          <w:p w14:paraId="3DCBD8E9" w14:textId="77777777" w:rsidR="00224B7D" w:rsidRPr="0096390A" w:rsidRDefault="00224B7D" w:rsidP="008E7C2E">
            <w:pPr>
              <w:spacing w:line="240" w:lineRule="auto"/>
              <w:ind w:right="113"/>
              <w:contextualSpacing/>
              <w:jc w:val="center"/>
              <w:rPr>
                <w:b/>
                <w:bCs/>
                <w:noProof/>
                <w:szCs w:val="20"/>
                <w:lang w:eastAsia="en-US" w:bidi="ar-SA"/>
              </w:rPr>
            </w:pPr>
            <w:r w:rsidRPr="0096390A">
              <w:rPr>
                <w:b/>
                <w:bCs/>
                <w:i/>
                <w:color w:val="FFFFFF" w:themeColor="background1"/>
                <w:szCs w:val="20"/>
                <w:lang w:eastAsia="en-US" w:bidi="ar-SA"/>
              </w:rPr>
              <w:t>Section à conserver</w:t>
            </w:r>
          </w:p>
        </w:tc>
      </w:tr>
      <w:tr w:rsidR="00224B7D" w:rsidRPr="0096390A" w14:paraId="083FBD7A" w14:textId="77777777" w:rsidTr="008E7C2E">
        <w:trPr>
          <w:trHeight w:val="806"/>
        </w:trPr>
        <w:tc>
          <w:tcPr>
            <w:tcW w:w="10217" w:type="dxa"/>
            <w:gridSpan w:val="4"/>
            <w:tcBorders>
              <w:top w:val="single" w:sz="18" w:space="0" w:color="002060"/>
              <w:left w:val="single" w:sz="18" w:space="0" w:color="002060"/>
              <w:bottom w:val="single" w:sz="18" w:space="0" w:color="auto"/>
              <w:right w:val="single" w:sz="18" w:space="0" w:color="002060"/>
            </w:tcBorders>
            <w:shd w:val="clear" w:color="auto" w:fill="auto"/>
            <w:vAlign w:val="center"/>
          </w:tcPr>
          <w:p w14:paraId="3C24E918" w14:textId="77777777" w:rsidR="00224B7D" w:rsidRPr="0096390A" w:rsidRDefault="00224B7D" w:rsidP="008E7C2E">
            <w:pPr>
              <w:spacing w:before="144" w:after="144" w:line="240" w:lineRule="auto"/>
              <w:rPr>
                <w:rFonts w:eastAsia="Times New Roman"/>
                <w:color w:val="000000"/>
                <w:szCs w:val="20"/>
                <w:lang w:bidi="ar-SA"/>
              </w:rPr>
            </w:pPr>
            <w:r w:rsidRPr="0096390A">
              <w:rPr>
                <w:rFonts w:eastAsia="Times New Roman"/>
                <w:color w:val="000000"/>
                <w:szCs w:val="20"/>
                <w:lang w:bidi="ar-SA"/>
              </w:rPr>
              <w:t>Pour limiter le dérèglement climatique, il est nécessaire d’impulser et d’accompagner des évolutions de comportements afin de favoriser des modes de vie et de consommation ayant moins d’impact sur l’environnement (limitation des pressions néfastes sur le climat, les ressources et la biodiversité). La communication commerciale peut jouer un rôle majeur dans ces évolutions. Au-delà de simplement susciter l’acte d’achat pour un produit ou un service par exemple, la communication commerciale met en scène des comportements et des modes de vie qu’il est nécessaire d’adapter et/ou d’utiliser pour favoriser une transition vers une société et des modèles économiques plus durables. </w:t>
            </w:r>
          </w:p>
          <w:p w14:paraId="6F0F0725" w14:textId="77777777" w:rsidR="00224B7D" w:rsidRPr="0096390A" w:rsidRDefault="00224B7D" w:rsidP="008E7C2E">
            <w:pPr>
              <w:spacing w:before="144" w:after="144" w:line="240" w:lineRule="auto"/>
              <w:rPr>
                <w:rFonts w:eastAsia="Times New Roman"/>
                <w:color w:val="000000"/>
                <w:szCs w:val="20"/>
                <w:lang w:bidi="ar-SA"/>
              </w:rPr>
            </w:pPr>
            <w:r w:rsidRPr="0096390A">
              <w:rPr>
                <w:rFonts w:eastAsia="Times New Roman"/>
                <w:color w:val="000000"/>
                <w:szCs w:val="20"/>
                <w:lang w:bidi="ar-SA"/>
              </w:rPr>
              <w:t>L’ensemble des acteurs de la chaine de valeur de la communication, définis dans l’introduction du présent document, partagent ces objectifs, et entendent prendre part chacun à leur niveau, aux évolutions nécessaires à la transition écologique.</w:t>
            </w:r>
          </w:p>
          <w:p w14:paraId="2E9216F2" w14:textId="77777777" w:rsidR="00224B7D" w:rsidRPr="0096390A" w:rsidRDefault="00224B7D" w:rsidP="008E7C2E">
            <w:pPr>
              <w:spacing w:before="144" w:after="144" w:line="240" w:lineRule="auto"/>
              <w:rPr>
                <w:rFonts w:eastAsia="Times New Roman"/>
                <w:color w:val="000000"/>
                <w:szCs w:val="20"/>
                <w:lang w:bidi="ar-SA"/>
              </w:rPr>
            </w:pPr>
            <w:r w:rsidRPr="0096390A">
              <w:rPr>
                <w:rFonts w:eastAsia="Times New Roman"/>
                <w:color w:val="000000"/>
                <w:szCs w:val="20"/>
                <w:lang w:bidi="ar-SA"/>
              </w:rPr>
              <w:t>Sous l’égide de l’Autorité de régulation de la communication audiovisuelle et numérique (Arcom), l’ensemble des acteurs, définis dans l’introduction du présent document, se sont fédérés pour élaborer un code de bonnes pratiques qui reprend leurs engagements propices à la transition écologique dans les communications commerciales principalement, mais aussi dans les messages d’intérêt général et les contenus éditoriaux.</w:t>
            </w:r>
          </w:p>
          <w:p w14:paraId="3587092C" w14:textId="77777777" w:rsidR="00224B7D" w:rsidRPr="0096390A" w:rsidRDefault="00224B7D" w:rsidP="008E7C2E">
            <w:pPr>
              <w:spacing w:before="144" w:after="144" w:line="240" w:lineRule="auto"/>
              <w:rPr>
                <w:rFonts w:eastAsia="Times New Roman"/>
                <w:color w:val="000000"/>
                <w:szCs w:val="20"/>
                <w:lang w:bidi="ar-SA"/>
              </w:rPr>
            </w:pPr>
            <w:r w:rsidRPr="0096390A">
              <w:rPr>
                <w:rFonts w:eastAsia="Times New Roman"/>
                <w:color w:val="000000"/>
                <w:szCs w:val="20"/>
                <w:lang w:bidi="ar-SA"/>
              </w:rPr>
              <w:lastRenderedPageBreak/>
              <w:t>Ainsi, les acteurs pourront selon leurs rôles respectifs et leurs possibilités, prendre des engagements sur un ou plusieurs axes parmi les axes suivants :</w:t>
            </w:r>
          </w:p>
          <w:p w14:paraId="1877ACDC" w14:textId="77777777" w:rsidR="00224B7D" w:rsidRPr="0096390A" w:rsidRDefault="00224B7D" w:rsidP="00224B7D">
            <w:pPr>
              <w:numPr>
                <w:ilvl w:val="0"/>
                <w:numId w:val="7"/>
              </w:numPr>
              <w:spacing w:before="144" w:after="0" w:line="240" w:lineRule="auto"/>
              <w:textAlignment w:val="baseline"/>
              <w:rPr>
                <w:rFonts w:eastAsia="Times New Roman"/>
                <w:color w:val="000000"/>
                <w:szCs w:val="20"/>
                <w:lang w:bidi="ar-SA"/>
              </w:rPr>
            </w:pPr>
            <w:r w:rsidRPr="0096390A">
              <w:rPr>
                <w:rFonts w:eastAsia="Times New Roman"/>
                <w:color w:val="000000"/>
                <w:szCs w:val="20"/>
                <w:lang w:bidi="ar-SA"/>
              </w:rPr>
              <w:t xml:space="preserve">Encourager, dans les communications commerciales, </w:t>
            </w:r>
            <w:r w:rsidRPr="0096390A">
              <w:rPr>
                <w:rFonts w:eastAsia="Times New Roman"/>
                <w:b/>
                <w:color w:val="000000"/>
                <w:szCs w:val="20"/>
                <w:lang w:bidi="ar-SA"/>
              </w:rPr>
              <w:t>la promotion de produits ou services avec un faible impact sur l’environnement</w:t>
            </w:r>
            <w:r w:rsidRPr="0096390A">
              <w:rPr>
                <w:rFonts w:eastAsia="Times New Roman"/>
                <w:color w:val="000000"/>
                <w:szCs w:val="20"/>
                <w:lang w:bidi="ar-SA"/>
              </w:rPr>
              <w:t xml:space="preserve"> (climat, ressources, biodiversité) et visant à </w:t>
            </w:r>
            <w:r w:rsidRPr="0096390A">
              <w:rPr>
                <w:rFonts w:eastAsia="Times New Roman"/>
                <w:b/>
                <w:color w:val="000000"/>
                <w:szCs w:val="20"/>
                <w:lang w:bidi="ar-SA"/>
              </w:rPr>
              <w:t xml:space="preserve">réduire de manière significative les communications commerciales relatives à des biens et services ayant un impact négatif élevé </w:t>
            </w:r>
            <w:r w:rsidRPr="0096390A">
              <w:rPr>
                <w:rFonts w:eastAsia="Times New Roman"/>
                <w:color w:val="000000"/>
                <w:szCs w:val="20"/>
                <w:lang w:bidi="ar-SA"/>
              </w:rPr>
              <w:t>sur l'environnement ;</w:t>
            </w:r>
          </w:p>
          <w:p w14:paraId="422F3F86" w14:textId="77777777" w:rsidR="00224B7D" w:rsidRPr="0096390A" w:rsidRDefault="00224B7D" w:rsidP="00224B7D">
            <w:pPr>
              <w:numPr>
                <w:ilvl w:val="0"/>
                <w:numId w:val="7"/>
              </w:numPr>
              <w:spacing w:before="0" w:after="0" w:line="240" w:lineRule="auto"/>
              <w:textAlignment w:val="baseline"/>
              <w:rPr>
                <w:rFonts w:eastAsia="Times New Roman"/>
                <w:color w:val="000000"/>
                <w:szCs w:val="20"/>
                <w:lang w:bidi="ar-SA"/>
              </w:rPr>
            </w:pPr>
            <w:r w:rsidRPr="0096390A">
              <w:rPr>
                <w:rFonts w:eastAsia="Times New Roman"/>
                <w:color w:val="000000"/>
                <w:szCs w:val="20"/>
                <w:lang w:bidi="ar-SA"/>
              </w:rPr>
              <w:t xml:space="preserve">Encourager, notamment dans les communications commerciales, </w:t>
            </w:r>
            <w:r w:rsidRPr="0096390A">
              <w:rPr>
                <w:rFonts w:eastAsia="Times New Roman"/>
                <w:b/>
                <w:color w:val="000000"/>
                <w:szCs w:val="20"/>
                <w:lang w:bidi="ar-SA"/>
              </w:rPr>
              <w:t>l’évolution</w:t>
            </w:r>
            <w:r w:rsidRPr="0096390A">
              <w:rPr>
                <w:rFonts w:eastAsia="Times New Roman"/>
                <w:color w:val="000000"/>
                <w:szCs w:val="20"/>
                <w:lang w:bidi="ar-SA"/>
              </w:rPr>
              <w:t xml:space="preserve"> </w:t>
            </w:r>
            <w:r w:rsidRPr="0096390A">
              <w:rPr>
                <w:rFonts w:eastAsia="Times New Roman"/>
                <w:b/>
                <w:color w:val="000000"/>
                <w:szCs w:val="20"/>
                <w:lang w:bidi="ar-SA"/>
              </w:rPr>
              <w:t xml:space="preserve">des modes de vie et comportements </w:t>
            </w:r>
            <w:r w:rsidRPr="0096390A">
              <w:rPr>
                <w:rFonts w:eastAsia="Times New Roman"/>
                <w:color w:val="000000"/>
                <w:szCs w:val="20"/>
                <w:lang w:bidi="ar-SA"/>
              </w:rPr>
              <w:t>en cohérence avec l’objectif de moindre impact sur l’environnement</w:t>
            </w:r>
            <w:r w:rsidRPr="0096390A">
              <w:rPr>
                <w:rFonts w:eastAsia="Times New Roman"/>
                <w:b/>
                <w:color w:val="000000"/>
                <w:szCs w:val="20"/>
                <w:lang w:bidi="ar-SA"/>
              </w:rPr>
              <w:t> </w:t>
            </w:r>
            <w:r w:rsidRPr="0096390A">
              <w:rPr>
                <w:rFonts w:eastAsia="Times New Roman"/>
                <w:color w:val="000000"/>
                <w:szCs w:val="20"/>
                <w:lang w:bidi="ar-SA"/>
              </w:rPr>
              <w:t>;</w:t>
            </w:r>
          </w:p>
          <w:p w14:paraId="29A4DC16" w14:textId="77777777" w:rsidR="00224B7D" w:rsidRPr="0096390A" w:rsidRDefault="00224B7D" w:rsidP="00224B7D">
            <w:pPr>
              <w:numPr>
                <w:ilvl w:val="0"/>
                <w:numId w:val="7"/>
              </w:numPr>
              <w:spacing w:before="0" w:after="0" w:line="240" w:lineRule="auto"/>
              <w:textAlignment w:val="baseline"/>
              <w:rPr>
                <w:rFonts w:eastAsia="Times New Roman"/>
                <w:color w:val="000000"/>
                <w:szCs w:val="20"/>
                <w:lang w:bidi="ar-SA"/>
              </w:rPr>
            </w:pPr>
            <w:r w:rsidRPr="0096390A">
              <w:rPr>
                <w:rFonts w:eastAsia="Times New Roman"/>
                <w:color w:val="000000"/>
                <w:szCs w:val="20"/>
                <w:lang w:bidi="ar-SA"/>
              </w:rPr>
              <w:t xml:space="preserve">Proposer et encourager des </w:t>
            </w:r>
            <w:r w:rsidRPr="0096390A">
              <w:rPr>
                <w:rFonts w:eastAsia="Times New Roman"/>
                <w:b/>
                <w:color w:val="000000"/>
                <w:szCs w:val="20"/>
                <w:lang w:bidi="ar-SA"/>
              </w:rPr>
              <w:t>modes de production</w:t>
            </w:r>
            <w:r w:rsidRPr="0096390A">
              <w:rPr>
                <w:rFonts w:eastAsia="Times New Roman"/>
                <w:color w:val="000000"/>
                <w:szCs w:val="20"/>
                <w:lang w:bidi="ar-SA"/>
              </w:rPr>
              <w:t xml:space="preserve"> des communications commerciales avec un faible impact sur l’environnement ;</w:t>
            </w:r>
          </w:p>
          <w:p w14:paraId="349BFAC1" w14:textId="77777777" w:rsidR="00224B7D" w:rsidRPr="0096390A" w:rsidRDefault="00224B7D" w:rsidP="00224B7D">
            <w:pPr>
              <w:numPr>
                <w:ilvl w:val="0"/>
                <w:numId w:val="7"/>
              </w:numPr>
              <w:spacing w:before="0" w:after="0" w:line="240" w:lineRule="auto"/>
              <w:textAlignment w:val="baseline"/>
              <w:rPr>
                <w:rFonts w:eastAsia="Times New Roman"/>
                <w:color w:val="000000"/>
                <w:szCs w:val="20"/>
                <w:lang w:bidi="ar-SA"/>
              </w:rPr>
            </w:pPr>
            <w:r w:rsidRPr="0096390A">
              <w:rPr>
                <w:rFonts w:eastAsia="Times New Roman"/>
                <w:b/>
                <w:color w:val="000000"/>
                <w:szCs w:val="20"/>
                <w:lang w:bidi="ar-SA"/>
              </w:rPr>
              <w:t>Sensibiliser et former leurs collaborateurs</w:t>
            </w:r>
            <w:r w:rsidRPr="0096390A">
              <w:rPr>
                <w:rFonts w:eastAsia="Times New Roman"/>
                <w:color w:val="000000"/>
                <w:szCs w:val="20"/>
                <w:lang w:bidi="ar-SA"/>
              </w:rPr>
              <w:t xml:space="preserve"> aux enjeux de la transition écologique dans les communications commerciales, et aux bonnes pratiques associées ;</w:t>
            </w:r>
          </w:p>
          <w:p w14:paraId="5EEF91E2" w14:textId="77777777" w:rsidR="00224B7D" w:rsidRPr="0096390A" w:rsidRDefault="00224B7D" w:rsidP="00224B7D">
            <w:pPr>
              <w:numPr>
                <w:ilvl w:val="0"/>
                <w:numId w:val="7"/>
              </w:numPr>
              <w:spacing w:before="0" w:after="0" w:line="240" w:lineRule="auto"/>
              <w:textAlignment w:val="baseline"/>
              <w:rPr>
                <w:rFonts w:eastAsia="Times New Roman"/>
                <w:color w:val="000000"/>
                <w:szCs w:val="20"/>
                <w:lang w:bidi="ar-SA"/>
              </w:rPr>
            </w:pPr>
            <w:r w:rsidRPr="0096390A">
              <w:rPr>
                <w:rFonts w:eastAsia="Times New Roman"/>
                <w:color w:val="000000"/>
                <w:szCs w:val="20"/>
                <w:lang w:bidi="ar-SA"/>
              </w:rPr>
              <w:t xml:space="preserve">Tout </w:t>
            </w:r>
            <w:r w:rsidRPr="0096390A">
              <w:rPr>
                <w:rFonts w:eastAsia="Times New Roman"/>
                <w:b/>
                <w:color w:val="000000"/>
                <w:szCs w:val="20"/>
                <w:lang w:bidi="ar-SA"/>
              </w:rPr>
              <w:t>autre engagement</w:t>
            </w:r>
            <w:r w:rsidRPr="0096390A">
              <w:rPr>
                <w:rFonts w:eastAsia="Times New Roman"/>
                <w:color w:val="000000"/>
                <w:szCs w:val="20"/>
                <w:lang w:bidi="ar-SA"/>
              </w:rPr>
              <w:t xml:space="preserve"> en faveur de la transition écologique.</w:t>
            </w:r>
          </w:p>
          <w:p w14:paraId="27BC67CA" w14:textId="77777777" w:rsidR="00224B7D" w:rsidRPr="0096390A" w:rsidRDefault="00224B7D" w:rsidP="008E7C2E">
            <w:pPr>
              <w:spacing w:before="144" w:after="144" w:line="240" w:lineRule="auto"/>
              <w:rPr>
                <w:rFonts w:eastAsia="Times New Roman"/>
                <w:color w:val="000000"/>
                <w:szCs w:val="20"/>
                <w:lang w:bidi="ar-SA"/>
              </w:rPr>
            </w:pPr>
            <w:r w:rsidRPr="0096390A">
              <w:rPr>
                <w:rFonts w:eastAsia="Times New Roman"/>
                <w:color w:val="000000"/>
                <w:szCs w:val="20"/>
                <w:lang w:bidi="ar-SA"/>
              </w:rPr>
              <w:t>Conscients de leur responsabilité et de leur influence auprès du grand public, les signataires s’attachent à rendre compte à l’ARCOM des mesures entreprises à leur niveau pour la mise en œuvre de leurs engagements.</w:t>
            </w:r>
          </w:p>
          <w:p w14:paraId="01E67E50" w14:textId="77777777" w:rsidR="00224B7D" w:rsidRPr="0096390A" w:rsidRDefault="00224B7D" w:rsidP="008E7C2E">
            <w:pPr>
              <w:spacing w:before="144" w:after="144" w:line="240" w:lineRule="auto"/>
              <w:rPr>
                <w:rFonts w:eastAsia="Times New Roman"/>
                <w:color w:val="000000"/>
                <w:szCs w:val="20"/>
                <w:lang w:bidi="ar-SA"/>
              </w:rPr>
            </w:pPr>
            <w:r w:rsidRPr="0096390A">
              <w:rPr>
                <w:rFonts w:eastAsia="Times New Roman"/>
                <w:color w:val="000000"/>
                <w:szCs w:val="20"/>
                <w:lang w:bidi="ar-SA"/>
              </w:rPr>
              <w:t>Ce Contrat, valable et applicable à cadre juridique constant (hors interdictions publicitaire issue</w:t>
            </w:r>
            <w:r w:rsidR="00FC403E" w:rsidRPr="0096390A">
              <w:rPr>
                <w:rFonts w:eastAsia="Times New Roman"/>
                <w:color w:val="000000"/>
                <w:szCs w:val="20"/>
                <w:lang w:bidi="ar-SA"/>
              </w:rPr>
              <w:t>s de la Loi Climat &amp; Résilience</w:t>
            </w:r>
            <w:r w:rsidRPr="0096390A">
              <w:rPr>
                <w:rFonts w:eastAsia="Times New Roman"/>
                <w:color w:val="000000"/>
                <w:szCs w:val="20"/>
                <w:lang w:bidi="ar-SA"/>
              </w:rPr>
              <w:t>, fera l’objet d’une évaluation annuelle menée sous la responsabilité de l’Arcom qui, le cas échéant, pourra s’adjoindre le concours de toute autre autorité compétente en matière d’environnement. </w:t>
            </w:r>
          </w:p>
          <w:p w14:paraId="028872F2" w14:textId="77777777" w:rsidR="00224B7D" w:rsidRPr="0096390A" w:rsidRDefault="00224B7D" w:rsidP="008E7C2E">
            <w:pPr>
              <w:spacing w:before="144" w:after="144" w:line="240" w:lineRule="auto"/>
              <w:rPr>
                <w:rFonts w:eastAsia="Times New Roman"/>
                <w:color w:val="000000"/>
                <w:szCs w:val="20"/>
                <w:lang w:bidi="ar-SA"/>
              </w:rPr>
            </w:pPr>
            <w:r w:rsidRPr="0096390A">
              <w:rPr>
                <w:rFonts w:eastAsia="Times New Roman"/>
                <w:color w:val="000000"/>
                <w:szCs w:val="20"/>
                <w:lang w:bidi="ar-SA"/>
              </w:rPr>
              <w:t>Cette évaluation portera sur la mise en œuvre de ces mesures, et servira à l’Arcom pour rendre compte aux autorités publiques et notamment au Parlement.</w:t>
            </w:r>
          </w:p>
          <w:p w14:paraId="47AE6404" w14:textId="77777777" w:rsidR="00224B7D" w:rsidRPr="0096390A" w:rsidRDefault="00224B7D" w:rsidP="008E7C2E">
            <w:pPr>
              <w:spacing w:before="144" w:after="144" w:line="240" w:lineRule="auto"/>
              <w:rPr>
                <w:rFonts w:eastAsia="Times New Roman"/>
                <w:szCs w:val="20"/>
                <w:lang w:bidi="ar-SA"/>
              </w:rPr>
            </w:pPr>
          </w:p>
        </w:tc>
      </w:tr>
      <w:tr w:rsidR="00224B7D" w:rsidRPr="0096390A" w14:paraId="6D00B4A2" w14:textId="77777777" w:rsidTr="008E7C2E">
        <w:trPr>
          <w:trHeight w:val="1031"/>
        </w:trPr>
        <w:tc>
          <w:tcPr>
            <w:tcW w:w="10217" w:type="dxa"/>
            <w:gridSpan w:val="4"/>
            <w:tcBorders>
              <w:top w:val="single" w:sz="18" w:space="0" w:color="002060"/>
              <w:left w:val="single" w:sz="18" w:space="0" w:color="002060"/>
              <w:bottom w:val="single" w:sz="18" w:space="0" w:color="auto"/>
              <w:right w:val="single" w:sz="18" w:space="0" w:color="002060"/>
            </w:tcBorders>
            <w:shd w:val="clear" w:color="auto" w:fill="002060"/>
            <w:vAlign w:val="center"/>
          </w:tcPr>
          <w:p w14:paraId="10549CDB" w14:textId="77777777" w:rsidR="00224B7D" w:rsidRPr="0096390A" w:rsidRDefault="00224B7D" w:rsidP="00224B7D">
            <w:pPr>
              <w:spacing w:line="240" w:lineRule="auto"/>
              <w:ind w:right="113"/>
              <w:contextualSpacing/>
              <w:jc w:val="center"/>
              <w:rPr>
                <w:b/>
                <w:bCs/>
                <w:noProof/>
                <w:color w:val="FFFFFF" w:themeColor="background1"/>
                <w:szCs w:val="20"/>
                <w:lang w:eastAsia="en-US" w:bidi="ar-SA"/>
              </w:rPr>
            </w:pPr>
            <w:r w:rsidRPr="0096390A">
              <w:rPr>
                <w:b/>
                <w:bCs/>
                <w:noProof/>
                <w:color w:val="FFFFFF" w:themeColor="background1"/>
                <w:szCs w:val="20"/>
                <w:lang w:eastAsia="en-US" w:bidi="ar-SA"/>
              </w:rPr>
              <w:lastRenderedPageBreak/>
              <w:t>Section spécifique à certaines organisations</w:t>
            </w:r>
          </w:p>
          <w:p w14:paraId="1912457E" w14:textId="77777777" w:rsidR="008C51BE" w:rsidRPr="0096390A" w:rsidRDefault="008C51BE" w:rsidP="00224B7D">
            <w:pPr>
              <w:spacing w:line="240" w:lineRule="auto"/>
              <w:ind w:right="113"/>
              <w:contextualSpacing/>
              <w:jc w:val="center"/>
              <w:rPr>
                <w:b/>
                <w:bCs/>
                <w:noProof/>
                <w:color w:val="FFFFFF" w:themeColor="background1"/>
                <w:szCs w:val="20"/>
                <w:lang w:eastAsia="en-US" w:bidi="ar-SA"/>
              </w:rPr>
            </w:pPr>
            <w:r w:rsidRPr="0096390A">
              <w:rPr>
                <w:b/>
                <w:bCs/>
                <w:i/>
                <w:color w:val="FFFFFF" w:themeColor="background1"/>
                <w:szCs w:val="20"/>
                <w:lang w:eastAsia="en-US" w:bidi="ar-SA"/>
              </w:rPr>
              <w:t>Section à conserver</w:t>
            </w:r>
          </w:p>
        </w:tc>
      </w:tr>
      <w:tr w:rsidR="00224B7D" w:rsidRPr="0096390A" w14:paraId="5694AC46" w14:textId="77777777" w:rsidTr="008E7C2E">
        <w:trPr>
          <w:trHeight w:val="1031"/>
        </w:trPr>
        <w:tc>
          <w:tcPr>
            <w:tcW w:w="10217" w:type="dxa"/>
            <w:gridSpan w:val="4"/>
            <w:tcBorders>
              <w:top w:val="single" w:sz="18" w:space="0" w:color="002060"/>
              <w:left w:val="single" w:sz="18" w:space="0" w:color="002060"/>
              <w:bottom w:val="single" w:sz="18" w:space="0" w:color="auto"/>
              <w:right w:val="single" w:sz="18" w:space="0" w:color="002060"/>
            </w:tcBorders>
            <w:shd w:val="clear" w:color="auto" w:fill="FFFFFF" w:themeFill="background1"/>
            <w:vAlign w:val="center"/>
          </w:tcPr>
          <w:p w14:paraId="4F1E9E17" w14:textId="77777777" w:rsidR="000042A6" w:rsidRPr="0096390A" w:rsidRDefault="000042A6" w:rsidP="000042A6">
            <w:pPr>
              <w:spacing w:line="240" w:lineRule="auto"/>
              <w:ind w:right="113"/>
              <w:contextualSpacing/>
              <w:rPr>
                <w:rFonts w:eastAsia="Times New Roman"/>
                <w:b/>
                <w:color w:val="000000"/>
                <w:szCs w:val="20"/>
                <w:lang w:bidi="ar-SA"/>
              </w:rPr>
            </w:pPr>
          </w:p>
          <w:p w14:paraId="64A3C047" w14:textId="66F00F7B" w:rsidR="000042A6" w:rsidRDefault="000042A6" w:rsidP="000042A6">
            <w:pPr>
              <w:spacing w:line="240" w:lineRule="auto"/>
              <w:ind w:right="113"/>
              <w:contextualSpacing/>
              <w:jc w:val="center"/>
              <w:rPr>
                <w:rFonts w:eastAsia="Times New Roman"/>
                <w:b/>
                <w:color w:val="000000"/>
                <w:szCs w:val="20"/>
                <w:lang w:bidi="ar-SA"/>
              </w:rPr>
            </w:pPr>
            <w:r w:rsidRPr="0096390A">
              <w:rPr>
                <w:noProof/>
                <w:szCs w:val="20"/>
                <w:lang w:bidi="ar-SA"/>
              </w:rPr>
              <w:drawing>
                <wp:inline distT="0" distB="0" distL="0" distR="0" wp14:anchorId="302230A9" wp14:editId="2AB191B2">
                  <wp:extent cx="2291244" cy="1300758"/>
                  <wp:effectExtent l="0" t="0" r="0" b="0"/>
                  <wp:docPr id="6" name="Image 6" descr="U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D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4809" cy="1314136"/>
                          </a:xfrm>
                          <a:prstGeom prst="rect">
                            <a:avLst/>
                          </a:prstGeom>
                          <a:noFill/>
                          <a:ln>
                            <a:noFill/>
                          </a:ln>
                        </pic:spPr>
                      </pic:pic>
                    </a:graphicData>
                  </a:graphic>
                </wp:inline>
              </w:drawing>
            </w:r>
          </w:p>
          <w:p w14:paraId="228EC02C" w14:textId="77777777" w:rsidR="0096390A" w:rsidRPr="0096390A" w:rsidRDefault="0096390A" w:rsidP="000042A6">
            <w:pPr>
              <w:spacing w:line="240" w:lineRule="auto"/>
              <w:ind w:right="113"/>
              <w:contextualSpacing/>
              <w:jc w:val="center"/>
              <w:rPr>
                <w:rFonts w:eastAsia="Times New Roman"/>
                <w:b/>
                <w:color w:val="000000"/>
                <w:szCs w:val="20"/>
                <w:lang w:bidi="ar-SA"/>
              </w:rPr>
            </w:pPr>
          </w:p>
          <w:p w14:paraId="79146185" w14:textId="77777777" w:rsidR="000042A6" w:rsidRPr="0096390A" w:rsidRDefault="000042A6" w:rsidP="000042A6">
            <w:pPr>
              <w:spacing w:line="240" w:lineRule="auto"/>
              <w:ind w:right="113"/>
              <w:contextualSpacing/>
              <w:rPr>
                <w:rFonts w:eastAsia="Times New Roman"/>
                <w:color w:val="000000"/>
                <w:szCs w:val="20"/>
                <w:lang w:bidi="ar-SA"/>
              </w:rPr>
            </w:pPr>
            <w:r w:rsidRPr="0096390A">
              <w:rPr>
                <w:rFonts w:eastAsia="Times New Roman"/>
                <w:b/>
                <w:color w:val="000000"/>
                <w:szCs w:val="20"/>
                <w:lang w:bidi="ar-SA"/>
              </w:rPr>
              <w:t>L’Union des marques</w:t>
            </w:r>
            <w:r w:rsidRPr="0096390A">
              <w:rPr>
                <w:rFonts w:eastAsia="Times New Roman"/>
                <w:color w:val="000000"/>
                <w:szCs w:val="20"/>
                <w:lang w:bidi="ar-SA"/>
              </w:rPr>
              <w:t xml:space="preserve"> est l’organisation représentative d’entreprises de toutes tailles, de tous statuts et de tous secteurs qui communiquent pour promouvoir leurs produits, leurs services, leur notoriété ou leur image. L’Union des marques à travers ses programmes comme le Programme </w:t>
            </w:r>
            <w:proofErr w:type="spellStart"/>
            <w:r w:rsidRPr="0096390A">
              <w:rPr>
                <w:rFonts w:eastAsia="Times New Roman"/>
                <w:color w:val="000000"/>
                <w:szCs w:val="20"/>
                <w:lang w:bidi="ar-SA"/>
              </w:rPr>
              <w:t>FAIRe</w:t>
            </w:r>
            <w:proofErr w:type="spellEnd"/>
            <w:r w:rsidRPr="0096390A">
              <w:rPr>
                <w:rFonts w:eastAsia="Times New Roman"/>
                <w:color w:val="000000"/>
                <w:szCs w:val="20"/>
                <w:lang w:bidi="ar-SA"/>
              </w:rPr>
              <w:t xml:space="preserve">, ses démarches d’engagements, de partenariats, ses communautés métiers promeut une communication responsable en résonance avec les attentes des consommateurs et citoyens. Avec sa Brand </w:t>
            </w:r>
            <w:proofErr w:type="spellStart"/>
            <w:r w:rsidRPr="0096390A">
              <w:rPr>
                <w:rFonts w:eastAsia="Times New Roman"/>
                <w:color w:val="000000"/>
                <w:szCs w:val="20"/>
                <w:lang w:bidi="ar-SA"/>
              </w:rPr>
              <w:t>Academy</w:t>
            </w:r>
            <w:proofErr w:type="spellEnd"/>
            <w:r w:rsidRPr="0096390A">
              <w:rPr>
                <w:rFonts w:eastAsia="Times New Roman"/>
                <w:color w:val="000000"/>
                <w:szCs w:val="20"/>
                <w:lang w:bidi="ar-SA"/>
              </w:rPr>
              <w:t>, elle participe à la sensibilisation et à la formation des collaborateurs aux enjeux de la transition écologique dans les communications commerciales.</w:t>
            </w:r>
          </w:p>
          <w:p w14:paraId="1DEE2394" w14:textId="77777777" w:rsidR="000042A6" w:rsidRPr="0096390A" w:rsidRDefault="000042A6" w:rsidP="000042A6">
            <w:pPr>
              <w:spacing w:line="240" w:lineRule="auto"/>
              <w:ind w:right="113"/>
              <w:contextualSpacing/>
              <w:rPr>
                <w:rFonts w:eastAsia="Times New Roman"/>
                <w:color w:val="000000"/>
                <w:szCs w:val="20"/>
                <w:lang w:bidi="ar-SA"/>
              </w:rPr>
            </w:pPr>
            <w:r w:rsidRPr="0096390A">
              <w:rPr>
                <w:rFonts w:eastAsia="Times New Roman"/>
                <w:color w:val="000000"/>
                <w:szCs w:val="20"/>
                <w:lang w:bidi="ar-SA"/>
              </w:rPr>
              <w:t>En lien avec la filière Communication et avec le soutien de l’ARPP (autorité de régulation professionnelle de la publicité), l’Union des marques s’engage dans ses activités :</w:t>
            </w:r>
          </w:p>
          <w:p w14:paraId="53D7ACC5" w14:textId="77777777" w:rsidR="000042A6" w:rsidRPr="0096390A" w:rsidRDefault="000042A6" w:rsidP="000042A6">
            <w:pPr>
              <w:spacing w:line="240" w:lineRule="auto"/>
              <w:ind w:right="113"/>
              <w:contextualSpacing/>
              <w:rPr>
                <w:rFonts w:eastAsia="Times New Roman"/>
                <w:color w:val="000000"/>
                <w:szCs w:val="20"/>
                <w:lang w:bidi="ar-SA"/>
              </w:rPr>
            </w:pPr>
          </w:p>
          <w:p w14:paraId="140BF0C3" w14:textId="77777777" w:rsidR="000042A6" w:rsidRPr="0096390A" w:rsidRDefault="000042A6" w:rsidP="000042A6">
            <w:pPr>
              <w:pStyle w:val="Paragraphedeliste"/>
              <w:numPr>
                <w:ilvl w:val="0"/>
                <w:numId w:val="9"/>
              </w:numPr>
              <w:spacing w:line="240" w:lineRule="auto"/>
              <w:ind w:left="307" w:right="113" w:hanging="307"/>
              <w:rPr>
                <w:rFonts w:eastAsia="Times New Roman"/>
                <w:color w:val="000000"/>
                <w:szCs w:val="20"/>
                <w:lang w:bidi="ar-SA"/>
              </w:rPr>
            </w:pPr>
            <w:r w:rsidRPr="0096390A">
              <w:rPr>
                <w:rFonts w:eastAsia="Times New Roman"/>
                <w:b/>
                <w:color w:val="000000"/>
                <w:szCs w:val="20"/>
                <w:lang w:bidi="ar-SA"/>
              </w:rPr>
              <w:t>A encourager la représentation dans les messages publicitaires des comportements favorables à la transition écologique</w:t>
            </w:r>
            <w:r w:rsidRPr="0096390A">
              <w:rPr>
                <w:rFonts w:eastAsia="Times New Roman"/>
                <w:color w:val="000000"/>
                <w:szCs w:val="20"/>
                <w:lang w:bidi="ar-SA"/>
              </w:rPr>
              <w:t xml:space="preserve">. </w:t>
            </w:r>
          </w:p>
          <w:p w14:paraId="29203199" w14:textId="77777777" w:rsidR="000042A6" w:rsidRPr="0096390A" w:rsidRDefault="000042A6" w:rsidP="000042A6">
            <w:pPr>
              <w:spacing w:before="0" w:after="0" w:line="240" w:lineRule="auto"/>
              <w:rPr>
                <w:bCs/>
                <w:szCs w:val="20"/>
                <w:u w:val="single"/>
                <w:lang w:eastAsia="en-US" w:bidi="ar-SA"/>
              </w:rPr>
            </w:pPr>
          </w:p>
          <w:p w14:paraId="531B7C5E" w14:textId="77777777" w:rsidR="000042A6" w:rsidRPr="0096390A" w:rsidRDefault="000042A6" w:rsidP="000042A6">
            <w:pPr>
              <w:spacing w:before="0" w:after="0" w:line="240" w:lineRule="auto"/>
              <w:rPr>
                <w:bCs/>
                <w:szCs w:val="20"/>
                <w:u w:val="single"/>
                <w:lang w:eastAsia="en-US" w:bidi="ar-SA"/>
              </w:rPr>
            </w:pPr>
            <w:r w:rsidRPr="0096390A">
              <w:rPr>
                <w:bCs/>
                <w:szCs w:val="20"/>
                <w:u w:val="single"/>
                <w:lang w:eastAsia="en-US" w:bidi="ar-SA"/>
              </w:rPr>
              <w:t xml:space="preserve">Indicateurs : </w:t>
            </w:r>
          </w:p>
          <w:p w14:paraId="607F0E6B" w14:textId="77777777" w:rsidR="000042A6" w:rsidRPr="0096390A" w:rsidRDefault="000042A6" w:rsidP="000042A6">
            <w:pPr>
              <w:numPr>
                <w:ilvl w:val="0"/>
                <w:numId w:val="2"/>
              </w:numPr>
              <w:spacing w:before="0" w:after="0" w:line="240" w:lineRule="auto"/>
              <w:ind w:left="307" w:right="113" w:hanging="307"/>
              <w:contextualSpacing/>
              <w:jc w:val="left"/>
              <w:rPr>
                <w:bCs/>
                <w:szCs w:val="20"/>
                <w:lang w:eastAsia="en-US" w:bidi="ar-SA"/>
              </w:rPr>
            </w:pPr>
            <w:r w:rsidRPr="0096390A">
              <w:rPr>
                <w:bCs/>
                <w:szCs w:val="20"/>
                <w:lang w:eastAsia="en-US" w:bidi="ar-SA"/>
              </w:rPr>
              <w:t xml:space="preserve">Diffusion du Guide </w:t>
            </w:r>
            <w:proofErr w:type="spellStart"/>
            <w:r w:rsidRPr="0096390A">
              <w:rPr>
                <w:bCs/>
                <w:szCs w:val="20"/>
                <w:lang w:eastAsia="en-US" w:bidi="ar-SA"/>
              </w:rPr>
              <w:t>FAIRe</w:t>
            </w:r>
            <w:proofErr w:type="spellEnd"/>
            <w:r w:rsidRPr="0096390A">
              <w:rPr>
                <w:bCs/>
                <w:szCs w:val="20"/>
                <w:lang w:eastAsia="en-US" w:bidi="ar-SA"/>
              </w:rPr>
              <w:t> : les comportements éco-responsables en publicité.</w:t>
            </w:r>
          </w:p>
          <w:p w14:paraId="05590AC6" w14:textId="77777777" w:rsidR="000042A6" w:rsidRPr="0096390A" w:rsidRDefault="000042A6" w:rsidP="000042A6">
            <w:pPr>
              <w:numPr>
                <w:ilvl w:val="0"/>
                <w:numId w:val="2"/>
              </w:numPr>
              <w:spacing w:before="0" w:after="0" w:line="240" w:lineRule="auto"/>
              <w:ind w:left="307" w:right="113" w:hanging="307"/>
              <w:contextualSpacing/>
              <w:jc w:val="left"/>
              <w:rPr>
                <w:bCs/>
                <w:szCs w:val="20"/>
                <w:lang w:eastAsia="en-US" w:bidi="ar-SA"/>
              </w:rPr>
            </w:pPr>
            <w:r w:rsidRPr="0096390A">
              <w:rPr>
                <w:bCs/>
                <w:szCs w:val="20"/>
                <w:lang w:eastAsia="en-US" w:bidi="ar-SA"/>
              </w:rPr>
              <w:t xml:space="preserve">Actions de sensibilisation des membres à la représentation dans les messages publicitaires des comportements favorables à la transition écologique </w:t>
            </w:r>
            <w:r w:rsidRPr="0096390A">
              <w:rPr>
                <w:rFonts w:eastAsia="Times New Roman"/>
                <w:color w:val="000000"/>
                <w:szCs w:val="20"/>
                <w:lang w:bidi="ar-SA"/>
              </w:rPr>
              <w:t> </w:t>
            </w:r>
          </w:p>
          <w:p w14:paraId="43FEF09F" w14:textId="77777777" w:rsidR="000042A6" w:rsidRPr="0096390A" w:rsidRDefault="000042A6" w:rsidP="000042A6">
            <w:pPr>
              <w:spacing w:before="0" w:after="0" w:line="240" w:lineRule="auto"/>
              <w:ind w:right="113"/>
              <w:contextualSpacing/>
              <w:jc w:val="left"/>
              <w:rPr>
                <w:bCs/>
                <w:szCs w:val="20"/>
                <w:lang w:eastAsia="en-US" w:bidi="ar-SA"/>
              </w:rPr>
            </w:pPr>
          </w:p>
          <w:p w14:paraId="2661E16D" w14:textId="77777777" w:rsidR="000042A6" w:rsidRPr="0096390A" w:rsidRDefault="000042A6" w:rsidP="000042A6">
            <w:pPr>
              <w:numPr>
                <w:ilvl w:val="0"/>
                <w:numId w:val="2"/>
              </w:numPr>
              <w:spacing w:before="0" w:after="0" w:line="240" w:lineRule="auto"/>
              <w:ind w:left="307" w:right="113" w:hanging="307"/>
              <w:contextualSpacing/>
              <w:jc w:val="left"/>
              <w:rPr>
                <w:b/>
                <w:bCs/>
                <w:szCs w:val="20"/>
                <w:lang w:eastAsia="en-US" w:bidi="ar-SA"/>
              </w:rPr>
            </w:pPr>
            <w:r w:rsidRPr="0096390A">
              <w:rPr>
                <w:rFonts w:eastAsia="Times New Roman"/>
                <w:b/>
                <w:color w:val="000000"/>
                <w:szCs w:val="20"/>
                <w:lang w:bidi="ar-SA"/>
              </w:rPr>
              <w:lastRenderedPageBreak/>
              <w:t>A encourager le développement et la diffusion par les marques de campagnes de communication ad hoc faisant la promotion des usages et des consommations durables en lien avec les catégories de la Convention citoyenne pour le climat (se déplacer, se loger, se nourrir, consommer).</w:t>
            </w:r>
          </w:p>
          <w:p w14:paraId="1411C806" w14:textId="77777777" w:rsidR="000042A6" w:rsidRPr="0096390A" w:rsidRDefault="000042A6" w:rsidP="000042A6">
            <w:pPr>
              <w:spacing w:before="0" w:after="0" w:line="240" w:lineRule="auto"/>
              <w:rPr>
                <w:bCs/>
                <w:szCs w:val="20"/>
                <w:lang w:eastAsia="en-US" w:bidi="ar-SA"/>
              </w:rPr>
            </w:pPr>
          </w:p>
          <w:p w14:paraId="09335537" w14:textId="77777777" w:rsidR="000042A6" w:rsidRPr="0096390A" w:rsidRDefault="000042A6" w:rsidP="000042A6">
            <w:pPr>
              <w:spacing w:before="0" w:after="0" w:line="240" w:lineRule="auto"/>
              <w:rPr>
                <w:bCs/>
                <w:szCs w:val="20"/>
                <w:u w:val="single"/>
                <w:lang w:eastAsia="en-US" w:bidi="ar-SA"/>
              </w:rPr>
            </w:pPr>
            <w:r w:rsidRPr="0096390A">
              <w:rPr>
                <w:bCs/>
                <w:szCs w:val="20"/>
                <w:u w:val="single"/>
                <w:lang w:eastAsia="en-US" w:bidi="ar-SA"/>
              </w:rPr>
              <w:t xml:space="preserve">Indicateur : </w:t>
            </w:r>
          </w:p>
          <w:p w14:paraId="1158D9F4" w14:textId="77777777" w:rsidR="000042A6" w:rsidRPr="0096390A" w:rsidRDefault="000042A6" w:rsidP="000042A6">
            <w:pPr>
              <w:numPr>
                <w:ilvl w:val="0"/>
                <w:numId w:val="2"/>
              </w:numPr>
              <w:spacing w:before="0" w:after="0" w:line="240" w:lineRule="auto"/>
              <w:ind w:left="307" w:right="113" w:hanging="307"/>
              <w:contextualSpacing/>
              <w:jc w:val="left"/>
              <w:rPr>
                <w:bCs/>
                <w:szCs w:val="20"/>
                <w:lang w:eastAsia="en-US" w:bidi="ar-SA"/>
              </w:rPr>
            </w:pPr>
            <w:r w:rsidRPr="0096390A">
              <w:rPr>
                <w:bCs/>
                <w:szCs w:val="20"/>
                <w:lang w:eastAsia="en-US" w:bidi="ar-SA"/>
              </w:rPr>
              <w:t>Liste des actions menées par l’Union des marques visant à encourager le développement et la diffusion par les marques de campagnes de communication ad hoc faisant la promotion des usages et des consommations durables.</w:t>
            </w:r>
          </w:p>
          <w:p w14:paraId="18AE173F" w14:textId="77777777" w:rsidR="000042A6" w:rsidRPr="0096390A" w:rsidRDefault="000042A6" w:rsidP="000042A6">
            <w:pPr>
              <w:spacing w:before="0" w:after="0" w:line="240" w:lineRule="auto"/>
              <w:ind w:right="113"/>
              <w:contextualSpacing/>
              <w:jc w:val="left"/>
              <w:rPr>
                <w:bCs/>
                <w:szCs w:val="20"/>
                <w:lang w:eastAsia="en-US" w:bidi="ar-SA"/>
              </w:rPr>
            </w:pPr>
          </w:p>
          <w:p w14:paraId="69BE88CD" w14:textId="77777777" w:rsidR="000042A6" w:rsidRPr="0096390A" w:rsidRDefault="000042A6" w:rsidP="000042A6">
            <w:pPr>
              <w:numPr>
                <w:ilvl w:val="0"/>
                <w:numId w:val="2"/>
              </w:numPr>
              <w:spacing w:before="0" w:after="0" w:line="240" w:lineRule="auto"/>
              <w:ind w:left="307" w:right="113" w:hanging="307"/>
              <w:contextualSpacing/>
              <w:jc w:val="left"/>
              <w:rPr>
                <w:bCs/>
                <w:szCs w:val="20"/>
                <w:lang w:eastAsia="en-US" w:bidi="ar-SA"/>
              </w:rPr>
            </w:pPr>
            <w:r w:rsidRPr="0096390A">
              <w:rPr>
                <w:rFonts w:eastAsia="Times New Roman"/>
                <w:b/>
                <w:color w:val="000000"/>
                <w:szCs w:val="20"/>
                <w:lang w:bidi="ar-SA"/>
              </w:rPr>
              <w:t>A encourager et relayer les initiatives des médias qui proposent des espaces dédiés aux marques pour la diffusion de campagnes de communication faisant la promotion des usages et consommations durables</w:t>
            </w:r>
            <w:r w:rsidRPr="0096390A">
              <w:rPr>
                <w:rFonts w:eastAsia="Times New Roman"/>
                <w:color w:val="000000"/>
                <w:szCs w:val="20"/>
                <w:lang w:bidi="ar-SA"/>
              </w:rPr>
              <w:t xml:space="preserve">. </w:t>
            </w:r>
          </w:p>
          <w:p w14:paraId="4D931429" w14:textId="77777777" w:rsidR="000042A6" w:rsidRPr="0096390A" w:rsidRDefault="000042A6" w:rsidP="000042A6">
            <w:pPr>
              <w:spacing w:before="0" w:after="0" w:line="240" w:lineRule="auto"/>
              <w:ind w:right="113"/>
              <w:contextualSpacing/>
              <w:jc w:val="left"/>
              <w:rPr>
                <w:bCs/>
                <w:szCs w:val="20"/>
                <w:lang w:eastAsia="en-US" w:bidi="ar-SA"/>
              </w:rPr>
            </w:pPr>
          </w:p>
          <w:p w14:paraId="1E79541F" w14:textId="77777777" w:rsidR="000042A6" w:rsidRPr="0096390A" w:rsidRDefault="000042A6" w:rsidP="000042A6">
            <w:pPr>
              <w:spacing w:before="0" w:after="0" w:line="240" w:lineRule="auto"/>
              <w:ind w:right="113"/>
              <w:contextualSpacing/>
              <w:jc w:val="left"/>
              <w:rPr>
                <w:bCs/>
                <w:szCs w:val="20"/>
                <w:u w:val="single"/>
                <w:lang w:eastAsia="en-US" w:bidi="ar-SA"/>
              </w:rPr>
            </w:pPr>
            <w:r w:rsidRPr="0096390A">
              <w:rPr>
                <w:bCs/>
                <w:szCs w:val="20"/>
                <w:u w:val="single"/>
                <w:lang w:eastAsia="en-US" w:bidi="ar-SA"/>
              </w:rPr>
              <w:t>Indicateur</w:t>
            </w:r>
          </w:p>
          <w:p w14:paraId="2F9CD9F7" w14:textId="77777777" w:rsidR="000042A6" w:rsidRPr="0096390A" w:rsidRDefault="000042A6" w:rsidP="000042A6">
            <w:pPr>
              <w:numPr>
                <w:ilvl w:val="0"/>
                <w:numId w:val="2"/>
              </w:numPr>
              <w:spacing w:before="0" w:after="0" w:line="240" w:lineRule="auto"/>
              <w:ind w:left="307" w:right="113" w:hanging="307"/>
              <w:contextualSpacing/>
              <w:jc w:val="left"/>
              <w:rPr>
                <w:bCs/>
                <w:szCs w:val="20"/>
                <w:lang w:eastAsia="en-US" w:bidi="ar-SA"/>
              </w:rPr>
            </w:pPr>
            <w:r w:rsidRPr="0096390A">
              <w:rPr>
                <w:bCs/>
                <w:szCs w:val="20"/>
                <w:lang w:eastAsia="en-US" w:bidi="ar-SA"/>
              </w:rPr>
              <w:t>Liste des actions visant à encourager et relayer les initiatives des médias qui proposent des espaces dédiés aux marques pour la diffusion de campagnes de communication faisant la promotion des usages et consommations durables</w:t>
            </w:r>
            <w:r w:rsidRPr="0096390A">
              <w:rPr>
                <w:rFonts w:eastAsia="Times New Roman"/>
                <w:color w:val="000000"/>
                <w:szCs w:val="20"/>
                <w:lang w:bidi="ar-SA"/>
              </w:rPr>
              <w:t>.</w:t>
            </w:r>
          </w:p>
          <w:p w14:paraId="2F62B51E" w14:textId="77777777" w:rsidR="000042A6" w:rsidRPr="0096390A" w:rsidRDefault="000042A6" w:rsidP="000042A6">
            <w:pPr>
              <w:spacing w:before="0" w:after="0" w:line="240" w:lineRule="auto"/>
              <w:ind w:left="307" w:right="113"/>
              <w:contextualSpacing/>
              <w:jc w:val="left"/>
              <w:rPr>
                <w:bCs/>
                <w:szCs w:val="20"/>
                <w:lang w:eastAsia="en-US" w:bidi="ar-SA"/>
              </w:rPr>
            </w:pPr>
          </w:p>
          <w:p w14:paraId="78CB1850" w14:textId="77777777" w:rsidR="000042A6" w:rsidRPr="0096390A" w:rsidRDefault="000042A6" w:rsidP="000042A6">
            <w:pPr>
              <w:numPr>
                <w:ilvl w:val="0"/>
                <w:numId w:val="2"/>
              </w:numPr>
              <w:spacing w:before="0" w:after="0" w:line="240" w:lineRule="auto"/>
              <w:ind w:left="307" w:right="113" w:hanging="307"/>
              <w:contextualSpacing/>
              <w:jc w:val="left"/>
              <w:rPr>
                <w:b/>
                <w:bCs/>
                <w:szCs w:val="20"/>
                <w:lang w:eastAsia="en-US" w:bidi="ar-SA"/>
              </w:rPr>
            </w:pPr>
            <w:r w:rsidRPr="0096390A">
              <w:rPr>
                <w:rFonts w:eastAsia="Times New Roman"/>
                <w:b/>
                <w:color w:val="000000"/>
                <w:szCs w:val="20"/>
                <w:lang w:bidi="ar-SA"/>
              </w:rPr>
              <w:t>A encourager la mesure et la réduction de l’impact carbone des communications par sa contribution aux travaux coordonnés avec les différents acteurs du marché pour la définition d’une trajectoire de réduction et de compensation résiduelle de l’impact des communications. </w:t>
            </w:r>
          </w:p>
          <w:p w14:paraId="22709BCB" w14:textId="77777777" w:rsidR="000042A6" w:rsidRPr="0096390A" w:rsidRDefault="000042A6" w:rsidP="000042A6">
            <w:pPr>
              <w:spacing w:before="0" w:after="0" w:line="240" w:lineRule="auto"/>
              <w:ind w:right="113"/>
              <w:contextualSpacing/>
              <w:jc w:val="left"/>
              <w:rPr>
                <w:bCs/>
                <w:szCs w:val="20"/>
                <w:lang w:eastAsia="en-US" w:bidi="ar-SA"/>
              </w:rPr>
            </w:pPr>
          </w:p>
          <w:p w14:paraId="55156F6B" w14:textId="77777777" w:rsidR="000042A6" w:rsidRPr="0096390A" w:rsidRDefault="000042A6" w:rsidP="000042A6">
            <w:pPr>
              <w:spacing w:before="0" w:after="0" w:line="240" w:lineRule="auto"/>
              <w:ind w:right="113"/>
              <w:contextualSpacing/>
              <w:jc w:val="left"/>
              <w:rPr>
                <w:bCs/>
                <w:szCs w:val="20"/>
                <w:u w:val="single"/>
                <w:lang w:eastAsia="en-US" w:bidi="ar-SA"/>
              </w:rPr>
            </w:pPr>
            <w:r w:rsidRPr="0096390A">
              <w:rPr>
                <w:bCs/>
                <w:szCs w:val="20"/>
                <w:u w:val="single"/>
                <w:lang w:eastAsia="en-US" w:bidi="ar-SA"/>
              </w:rPr>
              <w:t>Indicateurs</w:t>
            </w:r>
          </w:p>
          <w:p w14:paraId="32605050" w14:textId="77777777" w:rsidR="000042A6" w:rsidRPr="0096390A" w:rsidRDefault="000042A6" w:rsidP="000042A6">
            <w:pPr>
              <w:numPr>
                <w:ilvl w:val="0"/>
                <w:numId w:val="2"/>
              </w:numPr>
              <w:spacing w:before="0" w:after="0" w:line="240" w:lineRule="auto"/>
              <w:ind w:left="307" w:right="113" w:hanging="307"/>
              <w:contextualSpacing/>
              <w:jc w:val="left"/>
              <w:rPr>
                <w:bCs/>
                <w:szCs w:val="20"/>
                <w:lang w:eastAsia="en-US" w:bidi="ar-SA"/>
              </w:rPr>
            </w:pPr>
            <w:r w:rsidRPr="0096390A">
              <w:rPr>
                <w:bCs/>
                <w:szCs w:val="20"/>
                <w:lang w:eastAsia="en-US" w:bidi="ar-SA"/>
              </w:rPr>
              <w:t>Travaux menés par l’Union des marques sur la mesure de l’impact carbone des communications et participations aux travaux coordonnés avec les différents acteurs du marché.</w:t>
            </w:r>
          </w:p>
          <w:p w14:paraId="33F5CAE1" w14:textId="77777777" w:rsidR="000042A6" w:rsidRPr="0096390A" w:rsidRDefault="000042A6" w:rsidP="000042A6">
            <w:pPr>
              <w:numPr>
                <w:ilvl w:val="0"/>
                <w:numId w:val="2"/>
              </w:numPr>
              <w:spacing w:before="0" w:after="0" w:line="240" w:lineRule="auto"/>
              <w:ind w:left="307" w:right="113" w:hanging="307"/>
              <w:contextualSpacing/>
              <w:jc w:val="left"/>
              <w:rPr>
                <w:bCs/>
                <w:szCs w:val="20"/>
                <w:lang w:eastAsia="en-US" w:bidi="ar-SA"/>
              </w:rPr>
            </w:pPr>
            <w:r w:rsidRPr="0096390A">
              <w:rPr>
                <w:bCs/>
                <w:szCs w:val="20"/>
                <w:lang w:eastAsia="en-US" w:bidi="ar-SA"/>
              </w:rPr>
              <w:t xml:space="preserve">Diffusion des conclusions de ces travaux auprès de ses membres. </w:t>
            </w:r>
          </w:p>
          <w:p w14:paraId="7774EDF4" w14:textId="77777777" w:rsidR="000042A6" w:rsidRPr="0096390A" w:rsidRDefault="000042A6" w:rsidP="000042A6">
            <w:pPr>
              <w:spacing w:before="0" w:after="0" w:line="240" w:lineRule="auto"/>
              <w:ind w:right="113"/>
              <w:contextualSpacing/>
              <w:jc w:val="left"/>
              <w:rPr>
                <w:bCs/>
                <w:szCs w:val="20"/>
                <w:lang w:eastAsia="en-US" w:bidi="ar-SA"/>
              </w:rPr>
            </w:pPr>
          </w:p>
          <w:p w14:paraId="5BD9B023" w14:textId="77777777" w:rsidR="000042A6" w:rsidRPr="0096390A" w:rsidRDefault="000042A6" w:rsidP="000042A6">
            <w:pPr>
              <w:numPr>
                <w:ilvl w:val="0"/>
                <w:numId w:val="2"/>
              </w:numPr>
              <w:spacing w:before="0" w:after="0" w:line="240" w:lineRule="auto"/>
              <w:ind w:left="307" w:right="113" w:hanging="307"/>
              <w:contextualSpacing/>
              <w:jc w:val="left"/>
              <w:rPr>
                <w:bCs/>
                <w:szCs w:val="20"/>
                <w:lang w:eastAsia="en-US" w:bidi="ar-SA"/>
              </w:rPr>
            </w:pPr>
            <w:r w:rsidRPr="0096390A">
              <w:rPr>
                <w:rFonts w:eastAsia="Times New Roman"/>
                <w:b/>
                <w:color w:val="000000"/>
                <w:szCs w:val="20"/>
                <w:lang w:bidi="ar-SA"/>
              </w:rPr>
              <w:t>A renforcer les mécanismes de régulation professionnelle de la publicité pour prévenir l’écoblanchiment par le renforcement de la procédure d’urgence du Jury de déontologie publicitaire et par l’engagement des marques et des agences à soumettre à conseil préalable de l’ARPP avant leur diffusion les principales campagnes nationales multi-supports comportant une allégation environnementale définie dans le champ d’application de la Recommandation « Développement durable » de l’ARPP, quel que soit le support de diffusion utilisé</w:t>
            </w:r>
            <w:r w:rsidRPr="0096390A">
              <w:rPr>
                <w:rFonts w:eastAsia="Times New Roman"/>
                <w:color w:val="000000"/>
                <w:szCs w:val="20"/>
                <w:lang w:bidi="ar-SA"/>
              </w:rPr>
              <w:t>.</w:t>
            </w:r>
          </w:p>
          <w:p w14:paraId="49470A5A" w14:textId="77777777" w:rsidR="000042A6" w:rsidRPr="0096390A" w:rsidRDefault="000042A6" w:rsidP="000042A6">
            <w:pPr>
              <w:spacing w:before="0" w:after="0" w:line="240" w:lineRule="auto"/>
              <w:ind w:right="113"/>
              <w:contextualSpacing/>
              <w:jc w:val="left"/>
              <w:rPr>
                <w:bCs/>
                <w:szCs w:val="20"/>
                <w:lang w:eastAsia="en-US" w:bidi="ar-SA"/>
              </w:rPr>
            </w:pPr>
          </w:p>
          <w:p w14:paraId="4564FE27" w14:textId="77777777" w:rsidR="000042A6" w:rsidRPr="0096390A" w:rsidRDefault="000042A6" w:rsidP="000042A6">
            <w:pPr>
              <w:spacing w:before="0" w:after="0" w:line="240" w:lineRule="auto"/>
              <w:ind w:right="113"/>
              <w:contextualSpacing/>
              <w:jc w:val="left"/>
              <w:rPr>
                <w:bCs/>
                <w:szCs w:val="20"/>
                <w:u w:val="single"/>
                <w:lang w:eastAsia="en-US" w:bidi="ar-SA"/>
              </w:rPr>
            </w:pPr>
            <w:r w:rsidRPr="0096390A">
              <w:rPr>
                <w:bCs/>
                <w:szCs w:val="20"/>
                <w:u w:val="single"/>
                <w:lang w:eastAsia="en-US" w:bidi="ar-SA"/>
              </w:rPr>
              <w:t>Indicateurs :</w:t>
            </w:r>
          </w:p>
          <w:p w14:paraId="4E7707BE" w14:textId="77777777" w:rsidR="000042A6" w:rsidRPr="0096390A" w:rsidRDefault="000042A6" w:rsidP="000042A6">
            <w:pPr>
              <w:numPr>
                <w:ilvl w:val="0"/>
                <w:numId w:val="2"/>
              </w:numPr>
              <w:spacing w:before="0" w:after="0" w:line="240" w:lineRule="auto"/>
              <w:ind w:left="307" w:right="113" w:hanging="307"/>
              <w:contextualSpacing/>
              <w:jc w:val="left"/>
              <w:rPr>
                <w:bCs/>
                <w:szCs w:val="20"/>
                <w:lang w:eastAsia="en-US" w:bidi="ar-SA"/>
              </w:rPr>
            </w:pPr>
            <w:r w:rsidRPr="0096390A">
              <w:rPr>
                <w:bCs/>
                <w:szCs w:val="20"/>
                <w:lang w:eastAsia="en-US" w:bidi="ar-SA"/>
              </w:rPr>
              <w:t>Participation en tant qu’administrateur et trésorier de l’ARPP à la mise en œuvre du renforcement de la procédure d’urgence devant le Jury de déontologie publicitaire.</w:t>
            </w:r>
          </w:p>
          <w:p w14:paraId="4770DB3D" w14:textId="77777777" w:rsidR="000042A6" w:rsidRPr="0096390A" w:rsidRDefault="000042A6" w:rsidP="000042A6">
            <w:pPr>
              <w:numPr>
                <w:ilvl w:val="0"/>
                <w:numId w:val="2"/>
              </w:numPr>
              <w:spacing w:before="0" w:after="0" w:line="240" w:lineRule="auto"/>
              <w:ind w:left="307" w:right="113" w:hanging="307"/>
              <w:contextualSpacing/>
              <w:jc w:val="left"/>
              <w:rPr>
                <w:bCs/>
                <w:szCs w:val="20"/>
                <w:lang w:eastAsia="en-US" w:bidi="ar-SA"/>
              </w:rPr>
            </w:pPr>
            <w:r w:rsidRPr="0096390A">
              <w:rPr>
                <w:bCs/>
                <w:szCs w:val="20"/>
                <w:lang w:eastAsia="en-US" w:bidi="ar-SA"/>
              </w:rPr>
              <w:t>Sensibilisation de ses membres à l’engagement des marques et des agences à la soumission à conseil préalable de l’ARPP des principales campagnes nationales multi-support avant diffusion comportant une allégation environnementale dans le champ d’application de la Recommandation « Développement durable » de l’ARPP.</w:t>
            </w:r>
          </w:p>
          <w:p w14:paraId="4F979D7C" w14:textId="77777777" w:rsidR="000042A6" w:rsidRPr="0096390A" w:rsidRDefault="000042A6" w:rsidP="000042A6">
            <w:pPr>
              <w:spacing w:before="0" w:after="0" w:line="240" w:lineRule="auto"/>
              <w:ind w:right="113"/>
              <w:contextualSpacing/>
              <w:jc w:val="left"/>
              <w:rPr>
                <w:bCs/>
                <w:szCs w:val="20"/>
                <w:lang w:eastAsia="en-US" w:bidi="ar-SA"/>
              </w:rPr>
            </w:pPr>
          </w:p>
          <w:p w14:paraId="3DE47ADA" w14:textId="77777777" w:rsidR="0096390A" w:rsidRPr="0096390A" w:rsidRDefault="000042A6" w:rsidP="0096390A">
            <w:pPr>
              <w:spacing w:before="0" w:after="0" w:line="240" w:lineRule="auto"/>
              <w:ind w:right="113"/>
              <w:contextualSpacing/>
              <w:jc w:val="center"/>
              <w:rPr>
                <w:bCs/>
                <w:szCs w:val="20"/>
                <w:lang w:eastAsia="en-US" w:bidi="ar-SA"/>
              </w:rPr>
            </w:pPr>
            <w:r w:rsidRPr="0096390A">
              <w:rPr>
                <w:rFonts w:eastAsia="Times New Roman"/>
                <w:noProof/>
                <w:color w:val="000000"/>
                <w:szCs w:val="20"/>
                <w:lang w:bidi="ar-SA"/>
              </w:rPr>
              <w:drawing>
                <wp:inline distT="0" distB="0" distL="0" distR="0" wp14:anchorId="792F2C62" wp14:editId="21C699D3">
                  <wp:extent cx="2858691" cy="1390261"/>
                  <wp:effectExtent l="0" t="0" r="0" b="0"/>
                  <wp:docPr id="1" name="Picture 4" descr="Lancement de l'Observatoire de la Communication - SRI">
                    <a:extLst xmlns:a="http://schemas.openxmlformats.org/drawingml/2006/main">
                      <a:ext uri="{FF2B5EF4-FFF2-40B4-BE49-F238E27FC236}">
                        <a16:creationId xmlns:a16="http://schemas.microsoft.com/office/drawing/2014/main" id="{2FAD5C6D-C9BE-B24F-AF84-CD303E97EC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Lancement de l'Observatoire de la Communication - SRI">
                            <a:extLst>
                              <a:ext uri="{FF2B5EF4-FFF2-40B4-BE49-F238E27FC236}">
                                <a16:creationId xmlns:a16="http://schemas.microsoft.com/office/drawing/2014/main" id="{2FAD5C6D-C9BE-B24F-AF84-CD303E97ECA4}"/>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6520" cy="1394068"/>
                          </a:xfrm>
                          <a:prstGeom prst="rect">
                            <a:avLst/>
                          </a:prstGeom>
                          <a:noFill/>
                        </pic:spPr>
                      </pic:pic>
                    </a:graphicData>
                  </a:graphic>
                </wp:inline>
              </w:drawing>
            </w:r>
          </w:p>
          <w:p w14:paraId="6EE9CCCA" w14:textId="5919627F" w:rsidR="0096390A" w:rsidRPr="0096390A" w:rsidRDefault="0096390A" w:rsidP="0096390A">
            <w:pPr>
              <w:spacing w:before="0" w:after="0" w:line="240" w:lineRule="auto"/>
              <w:ind w:right="113"/>
              <w:contextualSpacing/>
              <w:rPr>
                <w:bCs/>
                <w:szCs w:val="20"/>
                <w:lang w:eastAsia="en-US" w:bidi="ar-SA"/>
              </w:rPr>
            </w:pPr>
            <w:r w:rsidRPr="0096390A">
              <w:rPr>
                <w:szCs w:val="20"/>
              </w:rPr>
              <w:t>Face aux enjeux de la transition écologique, la Filière Communication souhaite poursuivre et accentuer l'engagement de l'ensemble de ses acteurs, impliqués dans une stratégie des pas en avant, volontariste, et s'inscrire dans un chemin de transition écologique pour ses métiers, comprenant 7 engagements</w:t>
            </w:r>
          </w:p>
          <w:p w14:paraId="4A21566E" w14:textId="77777777" w:rsidR="0096390A" w:rsidRPr="0096390A" w:rsidRDefault="0096390A" w:rsidP="000042A6">
            <w:pPr>
              <w:spacing w:before="0" w:after="0" w:line="240" w:lineRule="auto"/>
              <w:ind w:right="113"/>
              <w:contextualSpacing/>
              <w:jc w:val="center"/>
              <w:rPr>
                <w:szCs w:val="20"/>
              </w:rPr>
            </w:pPr>
          </w:p>
          <w:p w14:paraId="4AD6C8BD" w14:textId="77777777" w:rsidR="0096390A" w:rsidRPr="0096390A" w:rsidRDefault="0096390A" w:rsidP="0096390A">
            <w:pPr>
              <w:spacing w:before="0" w:after="0" w:line="240" w:lineRule="auto"/>
              <w:ind w:right="113"/>
              <w:contextualSpacing/>
              <w:rPr>
                <w:b/>
                <w:bCs/>
                <w:szCs w:val="20"/>
              </w:rPr>
            </w:pPr>
            <w:r w:rsidRPr="0096390A">
              <w:rPr>
                <w:b/>
                <w:bCs/>
                <w:szCs w:val="20"/>
              </w:rPr>
              <w:t xml:space="preserve">ENGAGEMENT N°1 </w:t>
            </w:r>
          </w:p>
          <w:p w14:paraId="21F383A8" w14:textId="77777777" w:rsidR="0096390A" w:rsidRPr="0096390A" w:rsidRDefault="0096390A" w:rsidP="0096390A">
            <w:pPr>
              <w:spacing w:before="0" w:after="0" w:line="240" w:lineRule="auto"/>
              <w:ind w:right="113"/>
              <w:contextualSpacing/>
              <w:rPr>
                <w:szCs w:val="20"/>
              </w:rPr>
            </w:pPr>
          </w:p>
          <w:p w14:paraId="4741A2E9" w14:textId="77777777" w:rsidR="0096390A" w:rsidRPr="0096390A" w:rsidRDefault="0096390A" w:rsidP="0096390A">
            <w:pPr>
              <w:spacing w:before="0" w:after="0" w:line="240" w:lineRule="auto"/>
              <w:ind w:right="113"/>
              <w:contextualSpacing/>
              <w:rPr>
                <w:szCs w:val="20"/>
              </w:rPr>
            </w:pPr>
            <w:r w:rsidRPr="0096390A">
              <w:rPr>
                <w:szCs w:val="20"/>
              </w:rPr>
              <w:lastRenderedPageBreak/>
              <w:t xml:space="preserve">Sensibiliser chaque métier de la Filière Communication pour que chacun intègre les objectifs de l'Accord de Paris 2015 dans sa politique de réduction des émissions de gaz à effet de serre et en reconnaisse le caractère essentiel. </w:t>
            </w:r>
          </w:p>
          <w:p w14:paraId="593ABB21" w14:textId="77777777" w:rsidR="0096390A" w:rsidRPr="0096390A" w:rsidRDefault="0096390A" w:rsidP="0096390A">
            <w:pPr>
              <w:spacing w:before="0" w:after="0" w:line="240" w:lineRule="auto"/>
              <w:ind w:right="113"/>
              <w:contextualSpacing/>
              <w:rPr>
                <w:szCs w:val="20"/>
              </w:rPr>
            </w:pPr>
          </w:p>
          <w:p w14:paraId="0E844915" w14:textId="529024EA" w:rsidR="0096390A" w:rsidRPr="0096390A" w:rsidRDefault="0096390A" w:rsidP="0096390A">
            <w:pPr>
              <w:spacing w:before="0" w:after="0" w:line="240" w:lineRule="auto"/>
              <w:ind w:right="113"/>
              <w:contextualSpacing/>
              <w:rPr>
                <w:szCs w:val="20"/>
                <w:u w:val="single"/>
              </w:rPr>
            </w:pPr>
            <w:r w:rsidRPr="0096390A">
              <w:rPr>
                <w:szCs w:val="20"/>
                <w:u w:val="single"/>
              </w:rPr>
              <w:t xml:space="preserve">Indicateurs </w:t>
            </w:r>
          </w:p>
          <w:p w14:paraId="7EE4F7E0" w14:textId="77777777" w:rsidR="0096390A" w:rsidRPr="0096390A" w:rsidRDefault="0096390A" w:rsidP="0096390A">
            <w:pPr>
              <w:spacing w:before="0" w:after="0" w:line="240" w:lineRule="auto"/>
              <w:ind w:right="113"/>
              <w:contextualSpacing/>
              <w:rPr>
                <w:szCs w:val="20"/>
              </w:rPr>
            </w:pPr>
          </w:p>
          <w:p w14:paraId="4FC84F1E" w14:textId="77777777" w:rsidR="0096390A" w:rsidRPr="0096390A" w:rsidRDefault="0096390A" w:rsidP="0096390A">
            <w:pPr>
              <w:spacing w:before="0" w:after="0" w:line="240" w:lineRule="auto"/>
              <w:ind w:right="113"/>
              <w:contextualSpacing/>
              <w:rPr>
                <w:szCs w:val="20"/>
              </w:rPr>
            </w:pPr>
            <w:r w:rsidRPr="0096390A">
              <w:rPr>
                <w:szCs w:val="20"/>
              </w:rPr>
              <w:t xml:space="preserve">- Nombre de membres et de métiers ayant reconnu dans leurs déclarations publiques leur adhésion à l’Accord de Paris ou ayant pris des engagements climat. </w:t>
            </w:r>
          </w:p>
          <w:p w14:paraId="345AC9C2" w14:textId="03F4575D" w:rsidR="0096390A" w:rsidRPr="0096390A" w:rsidRDefault="0096390A" w:rsidP="0096390A">
            <w:pPr>
              <w:spacing w:before="0" w:after="0" w:line="240" w:lineRule="auto"/>
              <w:ind w:right="113"/>
              <w:contextualSpacing/>
              <w:rPr>
                <w:szCs w:val="20"/>
              </w:rPr>
            </w:pPr>
            <w:r w:rsidRPr="0096390A">
              <w:rPr>
                <w:szCs w:val="20"/>
              </w:rPr>
              <w:t xml:space="preserve">- Nombre de prises de parole publiques de la Filière et des membres sur l'importance de l’Accord de Paris et l'engagement climatique de la Filière. </w:t>
            </w:r>
          </w:p>
          <w:p w14:paraId="4939B6EB" w14:textId="77777777" w:rsidR="0096390A" w:rsidRPr="0096390A" w:rsidRDefault="0096390A" w:rsidP="000042A6">
            <w:pPr>
              <w:spacing w:before="0" w:after="0" w:line="240" w:lineRule="auto"/>
              <w:ind w:right="113"/>
              <w:contextualSpacing/>
              <w:jc w:val="center"/>
              <w:rPr>
                <w:szCs w:val="20"/>
              </w:rPr>
            </w:pPr>
          </w:p>
          <w:p w14:paraId="0CC3766C" w14:textId="41A2C50E" w:rsidR="0096390A" w:rsidRPr="0096390A" w:rsidRDefault="0096390A" w:rsidP="0096390A">
            <w:pPr>
              <w:spacing w:before="0" w:after="0" w:line="240" w:lineRule="auto"/>
              <w:ind w:right="113"/>
              <w:contextualSpacing/>
              <w:rPr>
                <w:b/>
                <w:bCs/>
                <w:szCs w:val="20"/>
              </w:rPr>
            </w:pPr>
            <w:r w:rsidRPr="0096390A">
              <w:rPr>
                <w:b/>
                <w:bCs/>
                <w:szCs w:val="20"/>
              </w:rPr>
              <w:t>ENGAGEMENT N°2</w:t>
            </w:r>
          </w:p>
          <w:p w14:paraId="1C6E904A" w14:textId="77777777" w:rsidR="0096390A" w:rsidRPr="0096390A" w:rsidRDefault="0096390A" w:rsidP="0096390A">
            <w:pPr>
              <w:spacing w:before="0" w:after="0" w:line="240" w:lineRule="auto"/>
              <w:ind w:right="113"/>
              <w:contextualSpacing/>
              <w:rPr>
                <w:szCs w:val="20"/>
              </w:rPr>
            </w:pPr>
          </w:p>
          <w:p w14:paraId="62355AEA" w14:textId="77777777" w:rsidR="0096390A" w:rsidRPr="0096390A" w:rsidRDefault="0096390A" w:rsidP="0096390A">
            <w:pPr>
              <w:spacing w:before="0" w:after="0" w:line="240" w:lineRule="auto"/>
              <w:ind w:right="113"/>
              <w:contextualSpacing/>
              <w:rPr>
                <w:szCs w:val="20"/>
              </w:rPr>
            </w:pPr>
            <w:r w:rsidRPr="0096390A">
              <w:rPr>
                <w:szCs w:val="20"/>
              </w:rPr>
              <w:t xml:space="preserve">Sensibiliser l’ensemble des acteurs économiques de la Filière Communication pour qu’ils reconnaissent les objectifs liés à la transition écologique et les intègrent au fonctionnement de leurs structures ; encourager à ce que les outils de pilotage de l'empreinte carbone et de réduction d'impact des acteurs de la Filière (Scopes 1 et 2) utilisés par les plus avancés d’entre eux soient partagés, adaptés et mis en commun dans un ou des référentiel(s), pour aider toutes les structures, quelle que soit leur taille, dans leur trajectoire de réduction carbone et inciter l'Union des Marques pour qu’elle s'engage à encourager cette démarche de mise en conformité et labellisation et à en tenir compte dans la sélection de ses partenaires. </w:t>
            </w:r>
          </w:p>
          <w:p w14:paraId="3F6D2E12" w14:textId="77777777" w:rsidR="0096390A" w:rsidRPr="0096390A" w:rsidRDefault="0096390A" w:rsidP="0096390A">
            <w:pPr>
              <w:spacing w:before="0" w:after="0" w:line="240" w:lineRule="auto"/>
              <w:ind w:right="113"/>
              <w:contextualSpacing/>
              <w:rPr>
                <w:szCs w:val="20"/>
              </w:rPr>
            </w:pPr>
          </w:p>
          <w:p w14:paraId="784F53DF" w14:textId="77777777" w:rsidR="0096390A" w:rsidRPr="0096390A" w:rsidRDefault="0096390A" w:rsidP="0096390A">
            <w:pPr>
              <w:spacing w:before="0" w:after="0" w:line="240" w:lineRule="auto"/>
              <w:ind w:right="113"/>
              <w:contextualSpacing/>
              <w:rPr>
                <w:szCs w:val="20"/>
                <w:u w:val="single"/>
              </w:rPr>
            </w:pPr>
            <w:r w:rsidRPr="0096390A">
              <w:rPr>
                <w:szCs w:val="20"/>
                <w:u w:val="single"/>
              </w:rPr>
              <w:t xml:space="preserve">Indicateur </w:t>
            </w:r>
          </w:p>
          <w:p w14:paraId="5320D131" w14:textId="77777777" w:rsidR="0096390A" w:rsidRPr="0096390A" w:rsidRDefault="0096390A" w:rsidP="0096390A">
            <w:pPr>
              <w:spacing w:before="0" w:after="0" w:line="240" w:lineRule="auto"/>
              <w:ind w:right="113"/>
              <w:contextualSpacing/>
              <w:rPr>
                <w:szCs w:val="20"/>
              </w:rPr>
            </w:pPr>
          </w:p>
          <w:p w14:paraId="0FDF9762" w14:textId="1651972A" w:rsidR="0096390A" w:rsidRPr="0096390A" w:rsidRDefault="0096390A" w:rsidP="0096390A">
            <w:pPr>
              <w:spacing w:before="0" w:after="0" w:line="240" w:lineRule="auto"/>
              <w:ind w:right="113"/>
              <w:contextualSpacing/>
              <w:rPr>
                <w:szCs w:val="20"/>
              </w:rPr>
            </w:pPr>
            <w:r w:rsidRPr="0096390A">
              <w:rPr>
                <w:szCs w:val="20"/>
              </w:rPr>
              <w:t xml:space="preserve">Nombre de membres de la Filière qui publient leur empreinte de GES et/ou leur trajectoire carbone et/ou un contrat climat transversal / sectoriel </w:t>
            </w:r>
          </w:p>
          <w:p w14:paraId="38E81DFA" w14:textId="77777777" w:rsidR="0096390A" w:rsidRPr="0096390A" w:rsidRDefault="0096390A" w:rsidP="000042A6">
            <w:pPr>
              <w:spacing w:before="0" w:after="0" w:line="240" w:lineRule="auto"/>
              <w:ind w:right="113"/>
              <w:contextualSpacing/>
              <w:jc w:val="center"/>
              <w:rPr>
                <w:szCs w:val="20"/>
              </w:rPr>
            </w:pPr>
          </w:p>
          <w:p w14:paraId="246D8920" w14:textId="77777777" w:rsidR="0096390A" w:rsidRPr="0096390A" w:rsidRDefault="0096390A" w:rsidP="0096390A">
            <w:pPr>
              <w:spacing w:before="0" w:after="0" w:line="240" w:lineRule="auto"/>
              <w:ind w:right="113"/>
              <w:contextualSpacing/>
              <w:rPr>
                <w:b/>
                <w:bCs/>
                <w:szCs w:val="20"/>
              </w:rPr>
            </w:pPr>
            <w:r w:rsidRPr="0096390A">
              <w:rPr>
                <w:b/>
                <w:bCs/>
                <w:szCs w:val="20"/>
              </w:rPr>
              <w:t xml:space="preserve">ENGAGEMENT N°3 </w:t>
            </w:r>
          </w:p>
          <w:p w14:paraId="3DAF8E77" w14:textId="77777777" w:rsidR="0096390A" w:rsidRPr="0096390A" w:rsidRDefault="0096390A" w:rsidP="000042A6">
            <w:pPr>
              <w:spacing w:before="0" w:after="0" w:line="240" w:lineRule="auto"/>
              <w:ind w:right="113"/>
              <w:contextualSpacing/>
              <w:jc w:val="center"/>
              <w:rPr>
                <w:szCs w:val="20"/>
              </w:rPr>
            </w:pPr>
          </w:p>
          <w:p w14:paraId="7D99CF34" w14:textId="3F67F762" w:rsidR="0096390A" w:rsidRPr="0096390A" w:rsidRDefault="0096390A" w:rsidP="0096390A">
            <w:pPr>
              <w:spacing w:before="0" w:after="0" w:line="240" w:lineRule="auto"/>
              <w:ind w:right="113"/>
              <w:contextualSpacing/>
              <w:rPr>
                <w:szCs w:val="20"/>
              </w:rPr>
            </w:pPr>
            <w:r w:rsidRPr="0096390A">
              <w:rPr>
                <w:szCs w:val="20"/>
              </w:rPr>
              <w:t xml:space="preserve">Sensibiliser les acteurs de la Filière Communication pour qu’ils s'engagent avec l'Union des Marques à l'évaluation de l’impact carbone des productions publicitaires (Scopes 1, 2 et 3) pour faire évoluer les pratiques, proposer des alternatives de production plus écologiques et examiner les possibilités de relocalisation en France et en Europe. </w:t>
            </w:r>
          </w:p>
          <w:p w14:paraId="128A32E9" w14:textId="77777777" w:rsidR="0096390A" w:rsidRPr="0096390A" w:rsidRDefault="0096390A" w:rsidP="0096390A">
            <w:pPr>
              <w:spacing w:before="0" w:after="0" w:line="240" w:lineRule="auto"/>
              <w:ind w:right="113"/>
              <w:contextualSpacing/>
              <w:rPr>
                <w:szCs w:val="20"/>
              </w:rPr>
            </w:pPr>
          </w:p>
          <w:p w14:paraId="21ECAC33" w14:textId="71DDEC2E" w:rsidR="0096390A" w:rsidRPr="0096390A" w:rsidRDefault="0096390A" w:rsidP="0096390A">
            <w:pPr>
              <w:spacing w:before="0" w:after="0" w:line="240" w:lineRule="auto"/>
              <w:ind w:right="113"/>
              <w:contextualSpacing/>
              <w:rPr>
                <w:szCs w:val="20"/>
                <w:u w:val="single"/>
              </w:rPr>
            </w:pPr>
            <w:r w:rsidRPr="0096390A">
              <w:rPr>
                <w:szCs w:val="20"/>
                <w:u w:val="single"/>
              </w:rPr>
              <w:t>Indicateur</w:t>
            </w:r>
          </w:p>
          <w:p w14:paraId="5064A057" w14:textId="77777777" w:rsidR="0096390A" w:rsidRPr="0096390A" w:rsidRDefault="0096390A" w:rsidP="0096390A">
            <w:pPr>
              <w:spacing w:before="0" w:after="0" w:line="240" w:lineRule="auto"/>
              <w:ind w:right="113"/>
              <w:contextualSpacing/>
              <w:rPr>
                <w:szCs w:val="20"/>
              </w:rPr>
            </w:pPr>
          </w:p>
          <w:p w14:paraId="62B3C1A0" w14:textId="255887F6" w:rsidR="0096390A" w:rsidRPr="0096390A" w:rsidRDefault="0096390A" w:rsidP="0096390A">
            <w:pPr>
              <w:spacing w:before="0" w:after="0" w:line="240" w:lineRule="auto"/>
              <w:ind w:right="113"/>
              <w:contextualSpacing/>
              <w:rPr>
                <w:szCs w:val="20"/>
              </w:rPr>
            </w:pPr>
            <w:r w:rsidRPr="0096390A">
              <w:rPr>
                <w:szCs w:val="20"/>
              </w:rPr>
              <w:t xml:space="preserve">- Comptabilisation du nombre d'engagements au titre de l'éco production pris par les membres de la Filière dans le cadre d'un contrat transversal / sectoriel, axe 3 sur "les modes de production". </w:t>
            </w:r>
          </w:p>
          <w:p w14:paraId="26161C47" w14:textId="77777777" w:rsidR="0096390A" w:rsidRPr="0096390A" w:rsidRDefault="0096390A" w:rsidP="000042A6">
            <w:pPr>
              <w:spacing w:before="0" w:after="0" w:line="240" w:lineRule="auto"/>
              <w:ind w:right="113"/>
              <w:contextualSpacing/>
              <w:jc w:val="center"/>
              <w:rPr>
                <w:szCs w:val="20"/>
              </w:rPr>
            </w:pPr>
          </w:p>
          <w:p w14:paraId="103BF838" w14:textId="66A23DD7" w:rsidR="0096390A" w:rsidRPr="0096390A" w:rsidRDefault="0096390A" w:rsidP="0096390A">
            <w:pPr>
              <w:spacing w:before="0" w:after="0" w:line="240" w:lineRule="auto"/>
              <w:ind w:right="113"/>
              <w:contextualSpacing/>
              <w:rPr>
                <w:b/>
                <w:bCs/>
                <w:szCs w:val="20"/>
              </w:rPr>
            </w:pPr>
            <w:r w:rsidRPr="0096390A">
              <w:rPr>
                <w:b/>
                <w:bCs/>
                <w:szCs w:val="20"/>
              </w:rPr>
              <w:t xml:space="preserve">ENGAGEMENT N°4 </w:t>
            </w:r>
          </w:p>
          <w:p w14:paraId="792B3EC3" w14:textId="77777777" w:rsidR="0096390A" w:rsidRPr="0096390A" w:rsidRDefault="0096390A" w:rsidP="0096390A">
            <w:pPr>
              <w:spacing w:before="0" w:after="0" w:line="240" w:lineRule="auto"/>
              <w:ind w:right="113"/>
              <w:contextualSpacing/>
              <w:rPr>
                <w:b/>
                <w:bCs/>
                <w:szCs w:val="20"/>
              </w:rPr>
            </w:pPr>
          </w:p>
          <w:p w14:paraId="1FC6A477" w14:textId="77777777" w:rsidR="0096390A" w:rsidRPr="0096390A" w:rsidRDefault="0096390A" w:rsidP="0096390A">
            <w:pPr>
              <w:spacing w:before="0" w:after="0" w:line="240" w:lineRule="auto"/>
              <w:ind w:right="113"/>
              <w:contextualSpacing/>
              <w:rPr>
                <w:szCs w:val="20"/>
              </w:rPr>
            </w:pPr>
            <w:r w:rsidRPr="0096390A">
              <w:rPr>
                <w:szCs w:val="20"/>
              </w:rPr>
              <w:t xml:space="preserve">Encourager la création et le suivi de standards de mesurabilité de l’empreinte carbone des campagnes de communication, tendant à la réduction de cette empreinte. </w:t>
            </w:r>
          </w:p>
          <w:p w14:paraId="74BC0EF0" w14:textId="77777777" w:rsidR="0096390A" w:rsidRPr="0096390A" w:rsidRDefault="0096390A" w:rsidP="0096390A">
            <w:pPr>
              <w:spacing w:before="0" w:after="0" w:line="240" w:lineRule="auto"/>
              <w:ind w:right="113"/>
              <w:contextualSpacing/>
              <w:rPr>
                <w:szCs w:val="20"/>
              </w:rPr>
            </w:pPr>
          </w:p>
          <w:p w14:paraId="304D49EC" w14:textId="77777777" w:rsidR="0096390A" w:rsidRPr="0096390A" w:rsidRDefault="0096390A" w:rsidP="0096390A">
            <w:pPr>
              <w:spacing w:before="0" w:after="0" w:line="240" w:lineRule="auto"/>
              <w:ind w:right="113"/>
              <w:contextualSpacing/>
              <w:rPr>
                <w:szCs w:val="20"/>
                <w:u w:val="single"/>
              </w:rPr>
            </w:pPr>
            <w:r w:rsidRPr="0096390A">
              <w:rPr>
                <w:szCs w:val="20"/>
                <w:u w:val="single"/>
              </w:rPr>
              <w:t xml:space="preserve">Indicateur </w:t>
            </w:r>
          </w:p>
          <w:p w14:paraId="13B803DB" w14:textId="77777777" w:rsidR="0096390A" w:rsidRPr="0096390A" w:rsidRDefault="0096390A" w:rsidP="0096390A">
            <w:pPr>
              <w:spacing w:before="0" w:after="0" w:line="240" w:lineRule="auto"/>
              <w:ind w:right="113"/>
              <w:contextualSpacing/>
              <w:rPr>
                <w:szCs w:val="20"/>
              </w:rPr>
            </w:pPr>
          </w:p>
          <w:p w14:paraId="75B23835" w14:textId="2019AABE" w:rsidR="0096390A" w:rsidRPr="0096390A" w:rsidRDefault="0096390A" w:rsidP="0096390A">
            <w:pPr>
              <w:spacing w:before="0" w:after="0" w:line="240" w:lineRule="auto"/>
              <w:ind w:right="113"/>
              <w:contextualSpacing/>
              <w:rPr>
                <w:szCs w:val="20"/>
              </w:rPr>
            </w:pPr>
            <w:r w:rsidRPr="0096390A">
              <w:rPr>
                <w:szCs w:val="20"/>
              </w:rPr>
              <w:t xml:space="preserve">Bilan des initiatives d’harmonisation des méthodologies et outils de mesure de la diffusion des campagnes de publicité, proposés par l’UDM, l’AACC et l’UDECAM ou tout autre membre, dans le respect des référentiels communs établis par les médias. </w:t>
            </w:r>
          </w:p>
          <w:p w14:paraId="4D8FEFAC" w14:textId="1578B151" w:rsidR="0096390A" w:rsidRPr="0096390A" w:rsidRDefault="0096390A" w:rsidP="000042A6">
            <w:pPr>
              <w:spacing w:before="0" w:after="0" w:line="240" w:lineRule="auto"/>
              <w:ind w:right="113"/>
              <w:contextualSpacing/>
              <w:jc w:val="center"/>
              <w:rPr>
                <w:szCs w:val="20"/>
              </w:rPr>
            </w:pPr>
          </w:p>
          <w:p w14:paraId="52373236" w14:textId="77777777" w:rsidR="0096390A" w:rsidRPr="0096390A" w:rsidRDefault="0096390A" w:rsidP="000042A6">
            <w:pPr>
              <w:spacing w:before="0" w:after="0" w:line="240" w:lineRule="auto"/>
              <w:ind w:right="113"/>
              <w:contextualSpacing/>
              <w:jc w:val="center"/>
              <w:rPr>
                <w:szCs w:val="20"/>
              </w:rPr>
            </w:pPr>
          </w:p>
          <w:p w14:paraId="79B2E067" w14:textId="0149D970" w:rsidR="0096390A" w:rsidRPr="0096390A" w:rsidRDefault="0096390A" w:rsidP="0096390A">
            <w:pPr>
              <w:spacing w:before="0" w:after="0" w:line="240" w:lineRule="auto"/>
              <w:ind w:right="113"/>
              <w:contextualSpacing/>
              <w:rPr>
                <w:b/>
                <w:bCs/>
                <w:szCs w:val="20"/>
              </w:rPr>
            </w:pPr>
            <w:r w:rsidRPr="0096390A">
              <w:rPr>
                <w:b/>
                <w:bCs/>
                <w:szCs w:val="20"/>
              </w:rPr>
              <w:t xml:space="preserve">ENGAGEMENT N°5 </w:t>
            </w:r>
          </w:p>
          <w:p w14:paraId="092741CE" w14:textId="77777777" w:rsidR="0096390A" w:rsidRPr="0096390A" w:rsidRDefault="0096390A" w:rsidP="0096390A">
            <w:pPr>
              <w:spacing w:before="0" w:after="0" w:line="240" w:lineRule="auto"/>
              <w:ind w:right="113"/>
              <w:contextualSpacing/>
              <w:rPr>
                <w:b/>
                <w:bCs/>
                <w:szCs w:val="20"/>
              </w:rPr>
            </w:pPr>
          </w:p>
          <w:p w14:paraId="690A00FD" w14:textId="77777777" w:rsidR="0096390A" w:rsidRPr="0096390A" w:rsidRDefault="0096390A" w:rsidP="0096390A">
            <w:pPr>
              <w:spacing w:before="0" w:after="0" w:line="240" w:lineRule="auto"/>
              <w:ind w:right="113"/>
              <w:contextualSpacing/>
              <w:rPr>
                <w:szCs w:val="20"/>
              </w:rPr>
            </w:pPr>
            <w:r w:rsidRPr="0096390A">
              <w:rPr>
                <w:szCs w:val="20"/>
              </w:rPr>
              <w:t xml:space="preserve">Sensibiliser les acteurs de la Filière Communication afin qu’ils renforcent leur contribution pro </w:t>
            </w:r>
            <w:proofErr w:type="spellStart"/>
            <w:r w:rsidRPr="0096390A">
              <w:rPr>
                <w:szCs w:val="20"/>
              </w:rPr>
              <w:t>bono</w:t>
            </w:r>
            <w:proofErr w:type="spellEnd"/>
            <w:r w:rsidRPr="0096390A">
              <w:rPr>
                <w:szCs w:val="20"/>
              </w:rPr>
              <w:t xml:space="preserve"> en direction des associations les plus actives en matière de transition climatique et d'inclusion sociale. </w:t>
            </w:r>
          </w:p>
          <w:p w14:paraId="6251F84E" w14:textId="77777777" w:rsidR="0096390A" w:rsidRPr="0096390A" w:rsidRDefault="0096390A" w:rsidP="0096390A">
            <w:pPr>
              <w:spacing w:before="0" w:after="0" w:line="240" w:lineRule="auto"/>
              <w:ind w:right="113"/>
              <w:contextualSpacing/>
              <w:rPr>
                <w:szCs w:val="20"/>
              </w:rPr>
            </w:pPr>
          </w:p>
          <w:p w14:paraId="597CA106" w14:textId="1E88EA4D" w:rsidR="0096390A" w:rsidRPr="0096390A" w:rsidRDefault="0096390A" w:rsidP="0096390A">
            <w:pPr>
              <w:spacing w:before="0" w:after="0" w:line="240" w:lineRule="auto"/>
              <w:ind w:right="113"/>
              <w:contextualSpacing/>
              <w:rPr>
                <w:szCs w:val="20"/>
                <w:u w:val="single"/>
              </w:rPr>
            </w:pPr>
            <w:r w:rsidRPr="0096390A">
              <w:rPr>
                <w:szCs w:val="20"/>
                <w:u w:val="single"/>
              </w:rPr>
              <w:t>Indicateurs</w:t>
            </w:r>
          </w:p>
          <w:p w14:paraId="05914E37" w14:textId="77777777" w:rsidR="0096390A" w:rsidRPr="0096390A" w:rsidRDefault="0096390A" w:rsidP="0096390A">
            <w:pPr>
              <w:spacing w:before="0" w:after="0" w:line="240" w:lineRule="auto"/>
              <w:ind w:right="113"/>
              <w:contextualSpacing/>
              <w:rPr>
                <w:szCs w:val="20"/>
                <w:u w:val="single"/>
              </w:rPr>
            </w:pPr>
          </w:p>
          <w:p w14:paraId="5DE7BEA0" w14:textId="77777777" w:rsidR="0096390A" w:rsidRPr="0096390A" w:rsidRDefault="0096390A" w:rsidP="0096390A">
            <w:pPr>
              <w:spacing w:before="0" w:after="0" w:line="240" w:lineRule="auto"/>
              <w:ind w:right="113"/>
              <w:contextualSpacing/>
              <w:rPr>
                <w:szCs w:val="20"/>
              </w:rPr>
            </w:pPr>
            <w:r w:rsidRPr="0096390A">
              <w:rPr>
                <w:szCs w:val="20"/>
              </w:rPr>
              <w:t xml:space="preserve"> -Estimation du nombre de campagnes et chantiers pro </w:t>
            </w:r>
            <w:proofErr w:type="spellStart"/>
            <w:r w:rsidRPr="0096390A">
              <w:rPr>
                <w:szCs w:val="20"/>
              </w:rPr>
              <w:t>bono</w:t>
            </w:r>
            <w:proofErr w:type="spellEnd"/>
            <w:r w:rsidRPr="0096390A">
              <w:rPr>
                <w:szCs w:val="20"/>
              </w:rPr>
              <w:t xml:space="preserve"> environnement et inclusion réalisés par les membres de la Filière </w:t>
            </w:r>
          </w:p>
          <w:p w14:paraId="31A1032C" w14:textId="1D3A3AA0" w:rsidR="0096390A" w:rsidRPr="0096390A" w:rsidRDefault="0096390A" w:rsidP="0096390A">
            <w:pPr>
              <w:spacing w:before="0" w:after="0" w:line="240" w:lineRule="auto"/>
              <w:ind w:right="113"/>
              <w:contextualSpacing/>
              <w:rPr>
                <w:szCs w:val="20"/>
              </w:rPr>
            </w:pPr>
            <w:r w:rsidRPr="0096390A">
              <w:rPr>
                <w:szCs w:val="20"/>
              </w:rPr>
              <w:t xml:space="preserve">-Estimation par les 6 grands médias de l'espace pro </w:t>
            </w:r>
            <w:proofErr w:type="spellStart"/>
            <w:r w:rsidRPr="0096390A">
              <w:rPr>
                <w:szCs w:val="20"/>
              </w:rPr>
              <w:t>bono</w:t>
            </w:r>
            <w:proofErr w:type="spellEnd"/>
            <w:r w:rsidRPr="0096390A">
              <w:rPr>
                <w:szCs w:val="20"/>
              </w:rPr>
              <w:t xml:space="preserve"> environnement et inclusion offert annuellement. </w:t>
            </w:r>
          </w:p>
          <w:p w14:paraId="64889C25" w14:textId="77777777" w:rsidR="0096390A" w:rsidRPr="0096390A" w:rsidRDefault="0096390A" w:rsidP="000042A6">
            <w:pPr>
              <w:spacing w:before="0" w:after="0" w:line="240" w:lineRule="auto"/>
              <w:ind w:right="113"/>
              <w:contextualSpacing/>
              <w:jc w:val="center"/>
              <w:rPr>
                <w:szCs w:val="20"/>
              </w:rPr>
            </w:pPr>
          </w:p>
          <w:p w14:paraId="5E79F78E" w14:textId="77777777" w:rsidR="0096390A" w:rsidRPr="0096390A" w:rsidRDefault="0096390A" w:rsidP="0096390A">
            <w:pPr>
              <w:spacing w:before="0" w:after="0" w:line="240" w:lineRule="auto"/>
              <w:ind w:right="113"/>
              <w:contextualSpacing/>
              <w:rPr>
                <w:b/>
                <w:bCs/>
                <w:szCs w:val="20"/>
              </w:rPr>
            </w:pPr>
            <w:r w:rsidRPr="0096390A">
              <w:rPr>
                <w:b/>
                <w:bCs/>
                <w:szCs w:val="20"/>
              </w:rPr>
              <w:t xml:space="preserve">ENGAGEMENT N°6 </w:t>
            </w:r>
          </w:p>
          <w:p w14:paraId="09E02F44" w14:textId="77777777" w:rsidR="0096390A" w:rsidRPr="0096390A" w:rsidRDefault="0096390A" w:rsidP="0096390A">
            <w:pPr>
              <w:spacing w:before="0" w:after="0" w:line="240" w:lineRule="auto"/>
              <w:ind w:right="113"/>
              <w:contextualSpacing/>
              <w:rPr>
                <w:szCs w:val="20"/>
              </w:rPr>
            </w:pPr>
          </w:p>
          <w:p w14:paraId="2AFD6804" w14:textId="77777777" w:rsidR="0096390A" w:rsidRPr="0096390A" w:rsidRDefault="0096390A" w:rsidP="0096390A">
            <w:pPr>
              <w:spacing w:before="0" w:after="0" w:line="240" w:lineRule="auto"/>
              <w:ind w:right="113"/>
              <w:contextualSpacing/>
              <w:rPr>
                <w:szCs w:val="20"/>
              </w:rPr>
            </w:pPr>
            <w:r w:rsidRPr="0096390A">
              <w:rPr>
                <w:szCs w:val="20"/>
              </w:rPr>
              <w:t>Sensibiliser les acteurs de la Filière Communication afin qu’ils entreprennent une démarche de formation systématique aux enjeux et aux solutions de transition écologique, en formant en interne leurs personnels, en faisant a posteriori des bilans sur les actions entreprises concernant les démarches de progrès engagées -bilans partagés avec les marques- et en contribuant à la formation des étudiants en marketing et communication.</w:t>
            </w:r>
          </w:p>
          <w:p w14:paraId="5B950BE2" w14:textId="77777777" w:rsidR="0096390A" w:rsidRPr="0096390A" w:rsidRDefault="0096390A" w:rsidP="0096390A">
            <w:pPr>
              <w:spacing w:before="0" w:after="0" w:line="240" w:lineRule="auto"/>
              <w:ind w:right="113"/>
              <w:contextualSpacing/>
              <w:rPr>
                <w:szCs w:val="20"/>
                <w:u w:val="single"/>
              </w:rPr>
            </w:pPr>
          </w:p>
          <w:p w14:paraId="13DC262B" w14:textId="34E7B20A" w:rsidR="0096390A" w:rsidRPr="0096390A" w:rsidRDefault="0096390A" w:rsidP="0096390A">
            <w:pPr>
              <w:spacing w:before="0" w:after="0" w:line="240" w:lineRule="auto"/>
              <w:ind w:right="113"/>
              <w:contextualSpacing/>
              <w:rPr>
                <w:szCs w:val="20"/>
                <w:u w:val="single"/>
              </w:rPr>
            </w:pPr>
            <w:r w:rsidRPr="0096390A">
              <w:rPr>
                <w:szCs w:val="20"/>
                <w:u w:val="single"/>
              </w:rPr>
              <w:t xml:space="preserve">Indicateur </w:t>
            </w:r>
          </w:p>
          <w:p w14:paraId="458FB38B" w14:textId="77777777" w:rsidR="0096390A" w:rsidRPr="0096390A" w:rsidRDefault="0096390A" w:rsidP="0096390A">
            <w:pPr>
              <w:spacing w:before="0" w:after="0" w:line="240" w:lineRule="auto"/>
              <w:ind w:right="113"/>
              <w:contextualSpacing/>
              <w:rPr>
                <w:szCs w:val="20"/>
              </w:rPr>
            </w:pPr>
          </w:p>
          <w:p w14:paraId="115419CA" w14:textId="7FB10813" w:rsidR="0096390A" w:rsidRPr="0096390A" w:rsidRDefault="0096390A" w:rsidP="0096390A">
            <w:pPr>
              <w:spacing w:before="0" w:after="0" w:line="240" w:lineRule="auto"/>
              <w:ind w:right="113"/>
              <w:contextualSpacing/>
              <w:rPr>
                <w:szCs w:val="20"/>
              </w:rPr>
            </w:pPr>
            <w:r w:rsidRPr="0096390A">
              <w:rPr>
                <w:szCs w:val="20"/>
              </w:rPr>
              <w:t xml:space="preserve">Nombre de cessions de formation et de sensibilisation à la communication responsable par les fédérations et leurs membres dispensées à destination de leurs collaborateurs et des étudiants </w:t>
            </w:r>
          </w:p>
          <w:p w14:paraId="31C91199" w14:textId="77777777" w:rsidR="0096390A" w:rsidRPr="0096390A" w:rsidRDefault="0096390A" w:rsidP="000042A6">
            <w:pPr>
              <w:spacing w:before="0" w:after="0" w:line="240" w:lineRule="auto"/>
              <w:ind w:right="113"/>
              <w:contextualSpacing/>
              <w:jc w:val="center"/>
              <w:rPr>
                <w:szCs w:val="20"/>
              </w:rPr>
            </w:pPr>
          </w:p>
          <w:p w14:paraId="7AE7095F" w14:textId="77777777" w:rsidR="0096390A" w:rsidRPr="0096390A" w:rsidRDefault="0096390A" w:rsidP="0096390A">
            <w:pPr>
              <w:spacing w:before="0" w:after="0" w:line="240" w:lineRule="auto"/>
              <w:ind w:right="113"/>
              <w:contextualSpacing/>
              <w:rPr>
                <w:b/>
                <w:bCs/>
                <w:szCs w:val="20"/>
              </w:rPr>
            </w:pPr>
            <w:r w:rsidRPr="0096390A">
              <w:rPr>
                <w:b/>
                <w:bCs/>
                <w:szCs w:val="20"/>
              </w:rPr>
              <w:t xml:space="preserve">ENGAGEMENT N°7 </w:t>
            </w:r>
          </w:p>
          <w:p w14:paraId="489E089B" w14:textId="77777777" w:rsidR="0096390A" w:rsidRPr="0096390A" w:rsidRDefault="0096390A" w:rsidP="0096390A">
            <w:pPr>
              <w:spacing w:before="0" w:after="0" w:line="240" w:lineRule="auto"/>
              <w:ind w:right="113"/>
              <w:contextualSpacing/>
              <w:rPr>
                <w:szCs w:val="20"/>
              </w:rPr>
            </w:pPr>
          </w:p>
          <w:p w14:paraId="26C60998" w14:textId="77777777" w:rsidR="0096390A" w:rsidRPr="0096390A" w:rsidRDefault="0096390A" w:rsidP="0096390A">
            <w:pPr>
              <w:spacing w:before="0" w:after="0" w:line="240" w:lineRule="auto"/>
              <w:ind w:right="113"/>
              <w:contextualSpacing/>
              <w:rPr>
                <w:szCs w:val="20"/>
              </w:rPr>
            </w:pPr>
            <w:r w:rsidRPr="0096390A">
              <w:rPr>
                <w:szCs w:val="20"/>
              </w:rPr>
              <w:t xml:space="preserve">Poursuivre, aux côtés de l'ARPP et de l'Union des Marques, le renforcement des mécanismes de régulation professionnelle de la publicité en élargissant les prérogatives de contrôle de l’ARPP et en proposant une plus grande intégration des parties prenantes dans sa gouvernance. </w:t>
            </w:r>
          </w:p>
          <w:p w14:paraId="1BE95791" w14:textId="77777777" w:rsidR="0096390A" w:rsidRPr="0096390A" w:rsidRDefault="0096390A" w:rsidP="0096390A">
            <w:pPr>
              <w:spacing w:before="0" w:after="0" w:line="240" w:lineRule="auto"/>
              <w:ind w:right="113"/>
              <w:contextualSpacing/>
              <w:rPr>
                <w:szCs w:val="20"/>
                <w:u w:val="single"/>
              </w:rPr>
            </w:pPr>
          </w:p>
          <w:p w14:paraId="2D053B92" w14:textId="77777777" w:rsidR="0096390A" w:rsidRPr="0096390A" w:rsidRDefault="0096390A" w:rsidP="0096390A">
            <w:pPr>
              <w:spacing w:before="0" w:after="0" w:line="240" w:lineRule="auto"/>
              <w:ind w:right="113"/>
              <w:contextualSpacing/>
              <w:rPr>
                <w:szCs w:val="20"/>
              </w:rPr>
            </w:pPr>
            <w:r w:rsidRPr="0096390A">
              <w:rPr>
                <w:szCs w:val="20"/>
                <w:u w:val="single"/>
              </w:rPr>
              <w:t>Indicateur</w:t>
            </w:r>
            <w:r w:rsidRPr="0096390A">
              <w:rPr>
                <w:szCs w:val="20"/>
              </w:rPr>
              <w:t xml:space="preserve"> </w:t>
            </w:r>
          </w:p>
          <w:p w14:paraId="58F88F93" w14:textId="77777777" w:rsidR="0096390A" w:rsidRPr="0096390A" w:rsidRDefault="0096390A" w:rsidP="0096390A">
            <w:pPr>
              <w:spacing w:before="0" w:after="0" w:line="240" w:lineRule="auto"/>
              <w:ind w:right="113"/>
              <w:contextualSpacing/>
              <w:rPr>
                <w:szCs w:val="20"/>
              </w:rPr>
            </w:pPr>
          </w:p>
          <w:p w14:paraId="786A4343" w14:textId="3CCB2934" w:rsidR="0096390A" w:rsidRPr="0096390A" w:rsidRDefault="0096390A" w:rsidP="0096390A">
            <w:pPr>
              <w:spacing w:before="0" w:after="0" w:line="240" w:lineRule="auto"/>
              <w:ind w:right="113"/>
              <w:contextualSpacing/>
              <w:rPr>
                <w:szCs w:val="20"/>
              </w:rPr>
            </w:pPr>
            <w:r w:rsidRPr="0096390A">
              <w:rPr>
                <w:szCs w:val="20"/>
              </w:rPr>
              <w:t xml:space="preserve">La mise en œuvre et le suivi de cet engagement sont inscrits dans le Rapport que l’ARPP doit adresser chaque année au Parlement au titre de l’article 14 de la Loi « Climat et résilience ». </w:t>
            </w:r>
          </w:p>
          <w:p w14:paraId="1E9288C5" w14:textId="77777777" w:rsidR="0096390A" w:rsidRPr="0096390A" w:rsidRDefault="0096390A" w:rsidP="0096390A">
            <w:pPr>
              <w:spacing w:before="0" w:after="0" w:line="240" w:lineRule="auto"/>
              <w:ind w:right="113"/>
              <w:contextualSpacing/>
              <w:rPr>
                <w:szCs w:val="20"/>
              </w:rPr>
            </w:pPr>
          </w:p>
          <w:p w14:paraId="5FE1FB6F" w14:textId="558BE320" w:rsidR="000042A6" w:rsidRDefault="0096390A" w:rsidP="0096390A">
            <w:pPr>
              <w:spacing w:before="0" w:after="0" w:line="240" w:lineRule="auto"/>
              <w:ind w:right="113"/>
              <w:contextualSpacing/>
              <w:rPr>
                <w:szCs w:val="20"/>
              </w:rPr>
            </w:pPr>
            <w:r w:rsidRPr="0096390A">
              <w:rPr>
                <w:szCs w:val="20"/>
              </w:rPr>
              <w:t>Tous ces points manifestent une forte volonté d'évolution, de dialogue et d'action avec les pouvoirs publics, les parties prenantes économiques et les acteurs de la société civile, pour résoudre les questions ayant trait à la mise en œuvre de ces engagements et leur donner réalité.</w:t>
            </w:r>
          </w:p>
          <w:p w14:paraId="72952A66" w14:textId="5F88887C" w:rsidR="0096390A" w:rsidRDefault="0096390A" w:rsidP="0096390A">
            <w:pPr>
              <w:spacing w:before="0" w:after="0" w:line="240" w:lineRule="auto"/>
              <w:ind w:right="113"/>
              <w:contextualSpacing/>
              <w:rPr>
                <w:szCs w:val="20"/>
              </w:rPr>
            </w:pPr>
          </w:p>
          <w:p w14:paraId="13E8D996" w14:textId="77777777" w:rsidR="0096390A" w:rsidRPr="0096390A" w:rsidRDefault="0096390A" w:rsidP="0096390A">
            <w:pPr>
              <w:spacing w:before="0" w:after="0" w:line="240" w:lineRule="auto"/>
              <w:ind w:right="113"/>
              <w:contextualSpacing/>
              <w:rPr>
                <w:bCs/>
                <w:szCs w:val="20"/>
                <w:lang w:eastAsia="en-US" w:bidi="ar-SA"/>
              </w:rPr>
            </w:pPr>
          </w:p>
          <w:p w14:paraId="7B77AC95" w14:textId="77777777" w:rsidR="000042A6" w:rsidRPr="0096390A" w:rsidRDefault="000042A6" w:rsidP="000042A6">
            <w:pPr>
              <w:spacing w:line="240" w:lineRule="auto"/>
              <w:ind w:right="113"/>
              <w:contextualSpacing/>
              <w:jc w:val="center"/>
              <w:rPr>
                <w:rFonts w:eastAsia="Times New Roman"/>
                <w:color w:val="000000"/>
                <w:szCs w:val="20"/>
              </w:rPr>
            </w:pPr>
            <w:r w:rsidRPr="0096390A">
              <w:rPr>
                <w:noProof/>
                <w:szCs w:val="20"/>
                <w:lang w:bidi="ar-SA"/>
              </w:rPr>
              <w:drawing>
                <wp:inline distT="0" distB="0" distL="0" distR="0" wp14:anchorId="5B07EE9F" wp14:editId="5A5A21BA">
                  <wp:extent cx="2425700" cy="1018794"/>
                  <wp:effectExtent l="0" t="0" r="0" b="0"/>
                  <wp:docPr id="4" name="Image 4" descr="Autorité de régulation professionnelle de la publicité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torité de régulation professionnelle de la publicité — Wikipé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8913" cy="1036944"/>
                          </a:xfrm>
                          <a:prstGeom prst="rect">
                            <a:avLst/>
                          </a:prstGeom>
                          <a:noFill/>
                          <a:ln>
                            <a:noFill/>
                          </a:ln>
                        </pic:spPr>
                      </pic:pic>
                    </a:graphicData>
                  </a:graphic>
                </wp:inline>
              </w:drawing>
            </w:r>
          </w:p>
          <w:p w14:paraId="07873726" w14:textId="77777777" w:rsidR="000042A6" w:rsidRPr="0096390A" w:rsidRDefault="000042A6" w:rsidP="000042A6">
            <w:pPr>
              <w:spacing w:line="240" w:lineRule="auto"/>
              <w:ind w:right="113"/>
              <w:contextualSpacing/>
              <w:rPr>
                <w:rFonts w:eastAsia="Times New Roman"/>
                <w:color w:val="000000"/>
                <w:szCs w:val="20"/>
                <w:lang w:bidi="ar-SA"/>
              </w:rPr>
            </w:pPr>
          </w:p>
          <w:p w14:paraId="695B57E3" w14:textId="77777777" w:rsidR="000042A6" w:rsidRPr="0096390A" w:rsidRDefault="000042A6" w:rsidP="000042A6">
            <w:pPr>
              <w:spacing w:line="240" w:lineRule="auto"/>
              <w:ind w:right="113"/>
              <w:contextualSpacing/>
              <w:rPr>
                <w:rFonts w:eastAsia="Times New Roman"/>
                <w:color w:val="000000"/>
                <w:szCs w:val="20"/>
                <w:lang w:bidi="ar-SA"/>
              </w:rPr>
            </w:pPr>
            <w:r w:rsidRPr="0096390A">
              <w:rPr>
                <w:rFonts w:eastAsia="Times New Roman"/>
                <w:b/>
                <w:bCs/>
                <w:color w:val="000000"/>
                <w:szCs w:val="20"/>
                <w:lang w:bidi="ar-SA"/>
              </w:rPr>
              <w:t>L'Autorité de régulation professionnelle de la publicité (ARPP</w:t>
            </w:r>
            <w:r w:rsidRPr="0096390A">
              <w:rPr>
                <w:rFonts w:eastAsia="Times New Roman"/>
                <w:color w:val="000000"/>
                <w:szCs w:val="20"/>
                <w:lang w:bidi="ar-SA"/>
              </w:rPr>
              <w:t xml:space="preserve">) est l’organisme français d’autorégulation du secteur de la publicité concertée avec la société civile. </w:t>
            </w:r>
          </w:p>
          <w:p w14:paraId="70478A4F" w14:textId="77777777" w:rsidR="000042A6" w:rsidRPr="0096390A" w:rsidRDefault="000042A6" w:rsidP="000042A6">
            <w:pPr>
              <w:spacing w:line="240" w:lineRule="auto"/>
              <w:ind w:right="113"/>
              <w:contextualSpacing/>
              <w:rPr>
                <w:rFonts w:eastAsia="Times New Roman"/>
                <w:color w:val="000000"/>
                <w:szCs w:val="20"/>
                <w:lang w:bidi="ar-SA"/>
              </w:rPr>
            </w:pPr>
          </w:p>
          <w:p w14:paraId="0391F9A8" w14:textId="77777777" w:rsidR="000042A6" w:rsidRPr="0096390A" w:rsidRDefault="000042A6" w:rsidP="000042A6">
            <w:pPr>
              <w:spacing w:line="240" w:lineRule="auto"/>
              <w:ind w:right="113"/>
              <w:contextualSpacing/>
              <w:rPr>
                <w:rFonts w:eastAsia="Times New Roman"/>
                <w:color w:val="000000"/>
                <w:szCs w:val="20"/>
                <w:lang w:bidi="ar-SA"/>
              </w:rPr>
            </w:pPr>
            <w:r w:rsidRPr="0096390A">
              <w:rPr>
                <w:rFonts w:eastAsia="Times New Roman"/>
                <w:color w:val="000000"/>
                <w:szCs w:val="20"/>
                <w:lang w:bidi="ar-SA"/>
              </w:rPr>
              <w:t>Depuis juin 2021, le Conseil d’administration de l’ARPP comprend, aux côtés des trois collèges professionnels représentant respectivement, les annonceurs, les agences-conseils en communication et agences médias, les médias, plateformes et régies publicitaires, un quatrième collège des représentants de la société civile - disposant du même nombre de voix que chacun des trois autres collèges - composé de trois personnalités issues des associations de consommateurs, environnementales ou sociétales, membres du Conseil Paritaire de la Publicité (CPP).</w:t>
            </w:r>
          </w:p>
          <w:p w14:paraId="12234660" w14:textId="77777777" w:rsidR="000042A6" w:rsidRPr="0096390A" w:rsidRDefault="000042A6" w:rsidP="000042A6">
            <w:pPr>
              <w:spacing w:line="240" w:lineRule="auto"/>
              <w:ind w:right="113"/>
              <w:contextualSpacing/>
              <w:rPr>
                <w:rFonts w:eastAsia="Times New Roman"/>
                <w:color w:val="000000"/>
                <w:szCs w:val="20"/>
                <w:lang w:bidi="ar-SA"/>
              </w:rPr>
            </w:pPr>
          </w:p>
          <w:p w14:paraId="6E4F8805" w14:textId="77777777" w:rsidR="000042A6" w:rsidRPr="0096390A" w:rsidRDefault="000042A6" w:rsidP="000042A6">
            <w:pPr>
              <w:spacing w:line="240" w:lineRule="auto"/>
              <w:ind w:right="113"/>
              <w:contextualSpacing/>
              <w:rPr>
                <w:rFonts w:eastAsia="Times New Roman"/>
                <w:color w:val="000000"/>
                <w:szCs w:val="20"/>
                <w:lang w:bidi="ar-SA"/>
              </w:rPr>
            </w:pPr>
            <w:r w:rsidRPr="0096390A">
              <w:rPr>
                <w:rFonts w:eastAsia="Times New Roman"/>
                <w:color w:val="000000"/>
                <w:szCs w:val="20"/>
                <w:lang w:bidi="ar-SA"/>
              </w:rPr>
              <w:t xml:space="preserve">La régulation professionnelle de la publicité concertée avec la société civile mise en place par l’ARPP commence par l'élaboration par les professionnels, en co-construction avec les parties prenantes, de codes de conduite contenus dans le </w:t>
            </w:r>
            <w:r w:rsidRPr="0096390A">
              <w:rPr>
                <w:rFonts w:eastAsia="Times New Roman"/>
                <w:i/>
                <w:iCs/>
                <w:color w:val="000000"/>
                <w:szCs w:val="20"/>
                <w:lang w:bidi="ar-SA"/>
              </w:rPr>
              <w:t>Code de l’ARPP des Recommandations de la publicité</w:t>
            </w:r>
            <w:r w:rsidRPr="0096390A">
              <w:rPr>
                <w:rFonts w:eastAsia="Times New Roman"/>
                <w:color w:val="000000"/>
                <w:szCs w:val="20"/>
                <w:lang w:bidi="ar-SA"/>
              </w:rPr>
              <w:t>.</w:t>
            </w:r>
          </w:p>
          <w:p w14:paraId="7C221C07" w14:textId="77777777" w:rsidR="000042A6" w:rsidRPr="0096390A" w:rsidRDefault="000042A6" w:rsidP="000042A6">
            <w:pPr>
              <w:spacing w:line="240" w:lineRule="auto"/>
              <w:ind w:right="113"/>
              <w:contextualSpacing/>
              <w:rPr>
                <w:rFonts w:eastAsia="Times New Roman"/>
                <w:color w:val="000000"/>
                <w:szCs w:val="20"/>
                <w:lang w:bidi="ar-SA"/>
              </w:rPr>
            </w:pPr>
            <w:r w:rsidRPr="0096390A">
              <w:rPr>
                <w:rFonts w:eastAsia="Times New Roman"/>
                <w:color w:val="000000"/>
                <w:szCs w:val="20"/>
                <w:lang w:bidi="ar-SA"/>
              </w:rPr>
              <w:t xml:space="preserve">Pour garantir un niveau élevé de sensibilisation aux règles, l’ARPP les diffuse largement et déploie des formations dédiées - y compris en ligne - dès leur création ou mise à jour et, de manière continue. </w:t>
            </w:r>
          </w:p>
          <w:p w14:paraId="439A2E41" w14:textId="77777777" w:rsidR="000042A6" w:rsidRPr="0096390A" w:rsidRDefault="000042A6" w:rsidP="000042A6">
            <w:pPr>
              <w:spacing w:line="240" w:lineRule="auto"/>
              <w:ind w:right="113"/>
              <w:contextualSpacing/>
              <w:rPr>
                <w:rFonts w:eastAsia="Times New Roman"/>
                <w:color w:val="000000"/>
                <w:szCs w:val="20"/>
                <w:lang w:bidi="ar-SA"/>
              </w:rPr>
            </w:pPr>
            <w:r w:rsidRPr="0096390A">
              <w:rPr>
                <w:rFonts w:eastAsia="Times New Roman"/>
                <w:color w:val="000000"/>
                <w:szCs w:val="20"/>
                <w:lang w:bidi="ar-SA"/>
              </w:rPr>
              <w:t xml:space="preserve">Cette régulation se prolonge avec l’examen des campagnes publicitaires avant leur diffusion, réalisé par l’ARPP dans le cadre des conseils tous médias et des avis pour la télévision et les services de médias audiovisuels à la demande qu’elle rend quotidiennement. </w:t>
            </w:r>
          </w:p>
          <w:p w14:paraId="0CED5B3E" w14:textId="77777777" w:rsidR="000042A6" w:rsidRPr="0096390A" w:rsidRDefault="000042A6" w:rsidP="000042A6">
            <w:pPr>
              <w:spacing w:line="240" w:lineRule="auto"/>
              <w:ind w:right="113"/>
              <w:contextualSpacing/>
              <w:rPr>
                <w:rFonts w:eastAsia="Times New Roman"/>
                <w:color w:val="000000"/>
                <w:szCs w:val="20"/>
                <w:lang w:bidi="ar-SA"/>
              </w:rPr>
            </w:pPr>
            <w:r w:rsidRPr="0096390A">
              <w:rPr>
                <w:rFonts w:eastAsia="Times New Roman"/>
                <w:color w:val="000000"/>
                <w:szCs w:val="20"/>
                <w:lang w:bidi="ar-SA"/>
              </w:rPr>
              <w:t>Après la diffusion des campagnes, la régulation professionnelle se poursuit avec l’action du Jury de Déontologie Publicitaire qui traite de toutes les plaintes qui lui sont adressées par toute personne physique ou morale et qui portent sur les règles du</w:t>
            </w:r>
            <w:r w:rsidRPr="0096390A">
              <w:rPr>
                <w:rFonts w:eastAsia="Times New Roman"/>
                <w:i/>
                <w:iCs/>
                <w:color w:val="000000"/>
                <w:szCs w:val="20"/>
                <w:lang w:bidi="ar-SA"/>
              </w:rPr>
              <w:t xml:space="preserve"> Code de l’ARPP</w:t>
            </w:r>
            <w:r w:rsidRPr="0096390A">
              <w:rPr>
                <w:rFonts w:eastAsia="Times New Roman"/>
                <w:color w:val="000000"/>
                <w:szCs w:val="20"/>
                <w:lang w:bidi="ar-SA"/>
              </w:rPr>
              <w:t xml:space="preserve"> ainsi que l’évaluation de leur respect dans le cadre d'études ciblées (Cf. Etudes-bilans ADEME-ARPP d’application de la Recommandation « </w:t>
            </w:r>
            <w:r w:rsidRPr="0096390A">
              <w:rPr>
                <w:rFonts w:eastAsia="Times New Roman"/>
                <w:i/>
                <w:iCs/>
                <w:color w:val="000000"/>
                <w:szCs w:val="20"/>
                <w:lang w:bidi="ar-SA"/>
              </w:rPr>
              <w:t>Développement durable</w:t>
            </w:r>
            <w:r w:rsidRPr="0096390A">
              <w:rPr>
                <w:rFonts w:eastAsia="Times New Roman"/>
                <w:color w:val="000000"/>
                <w:szCs w:val="20"/>
                <w:lang w:bidi="ar-SA"/>
              </w:rPr>
              <w:t xml:space="preserve"> » par exemple, et Observatoires de l'ARPP sur la publicité numérique avec des outils d’Intelligence artificielle, dont </w:t>
            </w:r>
            <w:proofErr w:type="spellStart"/>
            <w:r w:rsidRPr="0096390A">
              <w:rPr>
                <w:rFonts w:eastAsia="Times New Roman"/>
                <w:i/>
                <w:iCs/>
                <w:color w:val="000000"/>
                <w:szCs w:val="20"/>
                <w:lang w:bidi="ar-SA"/>
              </w:rPr>
              <w:t>Invenio</w:t>
            </w:r>
            <w:proofErr w:type="spellEnd"/>
            <w:r w:rsidRPr="0096390A">
              <w:rPr>
                <w:rFonts w:eastAsia="Times New Roman"/>
                <w:color w:val="000000"/>
                <w:szCs w:val="20"/>
                <w:lang w:bidi="ar-SA"/>
              </w:rPr>
              <w:t>).</w:t>
            </w:r>
          </w:p>
          <w:p w14:paraId="08D21505" w14:textId="77777777" w:rsidR="000042A6" w:rsidRPr="0096390A" w:rsidRDefault="000042A6" w:rsidP="000042A6">
            <w:pPr>
              <w:spacing w:line="240" w:lineRule="auto"/>
              <w:ind w:right="113"/>
              <w:contextualSpacing/>
              <w:rPr>
                <w:rFonts w:eastAsia="Times New Roman"/>
                <w:color w:val="000000"/>
                <w:szCs w:val="20"/>
                <w:lang w:bidi="ar-SA"/>
              </w:rPr>
            </w:pPr>
          </w:p>
          <w:p w14:paraId="7E7D1CD5" w14:textId="77777777" w:rsidR="000042A6" w:rsidRPr="0096390A" w:rsidRDefault="000042A6" w:rsidP="000042A6">
            <w:pPr>
              <w:spacing w:line="240" w:lineRule="auto"/>
              <w:ind w:right="113"/>
              <w:contextualSpacing/>
              <w:rPr>
                <w:rFonts w:eastAsia="Times New Roman"/>
                <w:color w:val="000000"/>
                <w:szCs w:val="20"/>
                <w:lang w:bidi="ar-SA"/>
              </w:rPr>
            </w:pPr>
            <w:r w:rsidRPr="0096390A">
              <w:rPr>
                <w:rFonts w:eastAsia="Times New Roman"/>
                <w:color w:val="000000"/>
                <w:szCs w:val="20"/>
                <w:lang w:bidi="ar-SA"/>
              </w:rPr>
              <w:t>Afin de poser des améliorations à la régulation de la publicité après écoute des parties prenantes et des pouvoirs publics et pour répondre à leurs attentes, l’ARPP a pris, avec toute l’interprofession qu’elle représente, des engagements pour renforcer encore l’efficience de la régulation du secteur de la publicité et le fonctionnement du dispositif de régulation professionnelle de la publicité concertée avec la société civile.</w:t>
            </w:r>
          </w:p>
          <w:p w14:paraId="20C8042D" w14:textId="77777777" w:rsidR="000042A6" w:rsidRPr="0096390A" w:rsidRDefault="000042A6" w:rsidP="000042A6">
            <w:pPr>
              <w:spacing w:line="240" w:lineRule="auto"/>
              <w:ind w:right="113"/>
              <w:contextualSpacing/>
              <w:rPr>
                <w:rFonts w:eastAsia="Times New Roman"/>
                <w:color w:val="000000"/>
                <w:szCs w:val="20"/>
                <w:lang w:bidi="ar-SA"/>
              </w:rPr>
            </w:pPr>
          </w:p>
          <w:p w14:paraId="3455024C" w14:textId="77777777" w:rsidR="000042A6" w:rsidRPr="0096390A" w:rsidRDefault="000042A6" w:rsidP="000042A6">
            <w:pPr>
              <w:spacing w:line="240" w:lineRule="auto"/>
              <w:ind w:right="113"/>
              <w:contextualSpacing/>
              <w:rPr>
                <w:rFonts w:eastAsia="Times New Roman"/>
                <w:color w:val="000000"/>
                <w:szCs w:val="20"/>
                <w:lang w:bidi="ar-SA"/>
              </w:rPr>
            </w:pPr>
            <w:r w:rsidRPr="0096390A">
              <w:rPr>
                <w:rFonts w:eastAsia="Times New Roman"/>
                <w:color w:val="000000"/>
                <w:szCs w:val="20"/>
                <w:lang w:bidi="ar-SA"/>
              </w:rPr>
              <w:t xml:space="preserve">En plus des engagements pris visant à renforcer son fonctionnement, l’ARPP propose des engagements supplémentaires, partagés avec l’interprofession, qui ont vocation à s’inscrire dans le cadre des « contrats climats » des acteurs concernés selon, notamment, leurs champs d’action respectifs. </w:t>
            </w:r>
          </w:p>
          <w:p w14:paraId="3C45F02E" w14:textId="77777777" w:rsidR="000042A6" w:rsidRPr="0096390A" w:rsidRDefault="000042A6" w:rsidP="000042A6">
            <w:pPr>
              <w:spacing w:line="240" w:lineRule="auto"/>
              <w:ind w:right="113"/>
              <w:contextualSpacing/>
              <w:rPr>
                <w:rFonts w:eastAsia="Times New Roman"/>
                <w:color w:val="000000"/>
                <w:szCs w:val="20"/>
                <w:lang w:bidi="ar-SA"/>
              </w:rPr>
            </w:pPr>
            <w:r w:rsidRPr="0096390A">
              <w:rPr>
                <w:rFonts w:eastAsia="Times New Roman"/>
                <w:color w:val="000000"/>
                <w:szCs w:val="20"/>
                <w:lang w:bidi="ar-SA"/>
              </w:rPr>
              <w:t>L’ARPP, consciente de la nécessité d’évaluer les engagements pris et d’en apprécier objectivement l’effectivité, a associé des indicateurs à ces engagements en respect des attentes politiques et sociétales afin de mesurer les évolutions très concrètes de son mode de fonctionnement et de son action.</w:t>
            </w:r>
          </w:p>
          <w:p w14:paraId="621BF4FE" w14:textId="77777777" w:rsidR="000042A6" w:rsidRPr="0096390A" w:rsidRDefault="000042A6" w:rsidP="000042A6">
            <w:pPr>
              <w:spacing w:line="240" w:lineRule="auto"/>
              <w:ind w:right="113"/>
              <w:contextualSpacing/>
              <w:rPr>
                <w:rFonts w:eastAsia="Times New Roman"/>
                <w:color w:val="000000"/>
                <w:szCs w:val="20"/>
                <w:lang w:bidi="ar-SA"/>
              </w:rPr>
            </w:pPr>
          </w:p>
          <w:p w14:paraId="65929DC5" w14:textId="77777777" w:rsidR="000042A6" w:rsidRPr="0096390A" w:rsidRDefault="000042A6" w:rsidP="000042A6">
            <w:pPr>
              <w:spacing w:line="240" w:lineRule="auto"/>
              <w:ind w:right="113"/>
              <w:contextualSpacing/>
              <w:rPr>
                <w:rFonts w:eastAsia="Times New Roman"/>
                <w:color w:val="000000"/>
                <w:szCs w:val="20"/>
                <w:lang w:bidi="ar-SA"/>
              </w:rPr>
            </w:pPr>
            <w:r w:rsidRPr="0096390A">
              <w:rPr>
                <w:rFonts w:eastAsia="Times New Roman"/>
                <w:color w:val="000000"/>
                <w:szCs w:val="20"/>
                <w:lang w:bidi="ar-SA"/>
              </w:rPr>
              <w:t>Conformément à l’article 14 de la Loi portant lutte contre le dérèglement climatique et renforcement de la résilience face à ses effets, le suivi de ces engagements - qui ont déjà été mis en place - est inscrit dans le Rapport que l’ARPP doit adresser chaque année au Parlement présentant, notamment, le bilan des actions menées et les avancées des engagements.</w:t>
            </w:r>
          </w:p>
          <w:p w14:paraId="44BB852E" w14:textId="77777777" w:rsidR="000042A6" w:rsidRPr="0096390A" w:rsidRDefault="000042A6" w:rsidP="000042A6">
            <w:pPr>
              <w:spacing w:line="240" w:lineRule="auto"/>
              <w:ind w:right="113"/>
              <w:contextualSpacing/>
              <w:rPr>
                <w:rFonts w:eastAsia="Times New Roman"/>
                <w:color w:val="000000"/>
                <w:szCs w:val="20"/>
                <w:lang w:bidi="ar-SA"/>
              </w:rPr>
            </w:pPr>
          </w:p>
          <w:p w14:paraId="68F0FDCA" w14:textId="77777777" w:rsidR="000042A6" w:rsidRPr="0096390A" w:rsidRDefault="000042A6" w:rsidP="000042A6">
            <w:pPr>
              <w:spacing w:line="240" w:lineRule="auto"/>
              <w:ind w:right="113"/>
              <w:contextualSpacing/>
              <w:rPr>
                <w:rFonts w:eastAsia="Times New Roman"/>
                <w:color w:val="000000"/>
                <w:szCs w:val="20"/>
                <w:lang w:bidi="ar-SA"/>
              </w:rPr>
            </w:pPr>
            <w:r w:rsidRPr="0096390A">
              <w:rPr>
                <w:rFonts w:eastAsia="Times New Roman"/>
                <w:color w:val="000000"/>
                <w:szCs w:val="20"/>
                <w:lang w:bidi="ar-SA"/>
              </w:rPr>
              <w:t xml:space="preserve">L'Autorité de régulation de la communication audiovisuelle et numérique (ARCOM) pourra s’appuyer sur l’ensemble des éléments qui seront insérés dans le Rapport au Parlement de l’ARPP. </w:t>
            </w:r>
          </w:p>
          <w:p w14:paraId="0045248D" w14:textId="77777777" w:rsidR="000042A6" w:rsidRPr="0096390A" w:rsidRDefault="000042A6" w:rsidP="000042A6">
            <w:pPr>
              <w:spacing w:line="240" w:lineRule="auto"/>
              <w:ind w:right="113"/>
              <w:contextualSpacing/>
              <w:rPr>
                <w:rFonts w:eastAsia="Times New Roman"/>
                <w:color w:val="000000"/>
                <w:szCs w:val="20"/>
                <w:lang w:bidi="ar-SA"/>
              </w:rPr>
            </w:pPr>
          </w:p>
          <w:p w14:paraId="7797D37E" w14:textId="77777777" w:rsidR="000042A6" w:rsidRPr="0096390A" w:rsidRDefault="000042A6" w:rsidP="000042A6">
            <w:pPr>
              <w:spacing w:line="240" w:lineRule="auto"/>
              <w:ind w:right="113"/>
              <w:contextualSpacing/>
              <w:rPr>
                <w:rFonts w:eastAsia="Times New Roman"/>
                <w:color w:val="000000"/>
                <w:szCs w:val="20"/>
                <w:lang w:bidi="ar-SA"/>
              </w:rPr>
            </w:pPr>
          </w:p>
          <w:p w14:paraId="1699714D" w14:textId="77777777" w:rsidR="000042A6" w:rsidRPr="0096390A" w:rsidRDefault="000042A6" w:rsidP="000042A6">
            <w:pPr>
              <w:spacing w:line="240" w:lineRule="auto"/>
              <w:ind w:right="113"/>
              <w:contextualSpacing/>
              <w:rPr>
                <w:rFonts w:eastAsia="Times New Roman"/>
                <w:b/>
                <w:bCs/>
                <w:color w:val="000000"/>
                <w:szCs w:val="20"/>
                <w:lang w:bidi="ar-SA"/>
              </w:rPr>
            </w:pPr>
            <w:r w:rsidRPr="0096390A">
              <w:rPr>
                <w:rFonts w:eastAsia="Times New Roman"/>
                <w:b/>
                <w:bCs/>
                <w:color w:val="000000"/>
                <w:szCs w:val="20"/>
                <w:lang w:bidi="ar-SA"/>
              </w:rPr>
              <w:t xml:space="preserve">Les engagements de l’ARPP, partagés avec l’interprofession, dont la mise en œuvre et le suivi sont inscrits dans le Rapport que l’ARPP doit adresser chaque année au Parlement au titre de l’article 14 de la Loi « Climat et résilience » : </w:t>
            </w:r>
          </w:p>
          <w:p w14:paraId="179C67D3" w14:textId="77777777" w:rsidR="000042A6" w:rsidRPr="0096390A" w:rsidRDefault="000042A6" w:rsidP="000042A6">
            <w:pPr>
              <w:spacing w:line="240" w:lineRule="auto"/>
              <w:ind w:right="113"/>
              <w:contextualSpacing/>
              <w:rPr>
                <w:rFonts w:eastAsia="Times New Roman"/>
                <w:b/>
                <w:bCs/>
                <w:color w:val="000000"/>
                <w:szCs w:val="20"/>
                <w:lang w:bidi="ar-SA"/>
              </w:rPr>
            </w:pPr>
          </w:p>
          <w:p w14:paraId="6647BCC0" w14:textId="77777777" w:rsidR="000042A6" w:rsidRPr="0096390A" w:rsidRDefault="000042A6" w:rsidP="000042A6">
            <w:pPr>
              <w:spacing w:line="240" w:lineRule="auto"/>
              <w:ind w:left="708" w:right="113"/>
              <w:contextualSpacing/>
              <w:rPr>
                <w:rFonts w:eastAsia="Times New Roman"/>
                <w:color w:val="000000"/>
                <w:szCs w:val="20"/>
                <w:lang w:bidi="ar-SA"/>
              </w:rPr>
            </w:pPr>
            <w:r w:rsidRPr="0096390A">
              <w:rPr>
                <w:rFonts w:eastAsia="Times New Roman"/>
                <w:b/>
                <w:color w:val="000000"/>
                <w:szCs w:val="20"/>
                <w:lang w:bidi="ar-SA"/>
              </w:rPr>
              <w:t>- La création d’un nouveau collège des représentants de la société civile au sein du conseil d’administration de l’ARPP</w:t>
            </w:r>
            <w:r w:rsidRPr="0096390A">
              <w:rPr>
                <w:rFonts w:eastAsia="Times New Roman"/>
                <w:color w:val="000000"/>
                <w:szCs w:val="20"/>
                <w:lang w:bidi="ar-SA"/>
              </w:rPr>
              <w:t xml:space="preserve">, composé de trois personnalités représentant respectivement les associations de consommateurs, environnementales et sociétales, membres du Conseil paritaire de la publicité (CPP), disposant du même nombre de voix que chacun des trois autres collèges, annonceurs, agences et médias. </w:t>
            </w:r>
          </w:p>
          <w:p w14:paraId="69210D4E" w14:textId="77777777" w:rsidR="000042A6" w:rsidRPr="0096390A" w:rsidRDefault="000042A6" w:rsidP="000042A6">
            <w:pPr>
              <w:spacing w:line="240" w:lineRule="auto"/>
              <w:ind w:right="113"/>
              <w:contextualSpacing/>
              <w:rPr>
                <w:rFonts w:eastAsia="Times New Roman"/>
                <w:color w:val="000000"/>
                <w:szCs w:val="20"/>
                <w:lang w:bidi="ar-SA"/>
              </w:rPr>
            </w:pPr>
            <w:r w:rsidRPr="0096390A">
              <w:rPr>
                <w:rFonts w:eastAsia="Times New Roman"/>
                <w:color w:val="000000"/>
                <w:szCs w:val="20"/>
                <w:lang w:bidi="ar-SA"/>
              </w:rPr>
              <w:t>I</w:t>
            </w:r>
            <w:r w:rsidRPr="0096390A">
              <w:rPr>
                <w:rFonts w:eastAsia="Times New Roman"/>
                <w:color w:val="000000"/>
                <w:szCs w:val="20"/>
                <w:u w:val="single"/>
                <w:lang w:bidi="ar-SA"/>
              </w:rPr>
              <w:t>ndicateur </w:t>
            </w:r>
            <w:r w:rsidRPr="0096390A">
              <w:rPr>
                <w:rFonts w:eastAsia="Times New Roman"/>
                <w:color w:val="000000"/>
                <w:szCs w:val="20"/>
                <w:lang w:bidi="ar-SA"/>
              </w:rPr>
              <w:t>: Cette nouvelle gouvernance a été approuvée par l’Assemblée Générale des adhérents de l’ARPP du 9 juin 2021, formalisée dans les Statuts modifiés de l’ARPP. Le Règlement intérieur du CPP a également été modifié et adapté par ses membres.</w:t>
            </w:r>
          </w:p>
          <w:p w14:paraId="34085755" w14:textId="77777777" w:rsidR="000042A6" w:rsidRPr="0096390A" w:rsidRDefault="000042A6" w:rsidP="000042A6">
            <w:pPr>
              <w:spacing w:line="240" w:lineRule="auto"/>
              <w:ind w:right="113"/>
              <w:contextualSpacing/>
              <w:rPr>
                <w:rFonts w:eastAsia="Times New Roman"/>
                <w:color w:val="000000"/>
                <w:szCs w:val="20"/>
                <w:lang w:bidi="ar-SA"/>
              </w:rPr>
            </w:pPr>
          </w:p>
          <w:p w14:paraId="3F0B243B" w14:textId="77777777" w:rsidR="000042A6" w:rsidRPr="0096390A" w:rsidRDefault="000042A6" w:rsidP="000042A6">
            <w:pPr>
              <w:spacing w:line="240" w:lineRule="auto"/>
              <w:ind w:left="720" w:right="113"/>
              <w:contextualSpacing/>
              <w:rPr>
                <w:rFonts w:eastAsia="Times New Roman"/>
                <w:color w:val="000000"/>
                <w:szCs w:val="20"/>
                <w:lang w:bidi="ar-SA"/>
              </w:rPr>
            </w:pPr>
            <w:r w:rsidRPr="0096390A">
              <w:rPr>
                <w:rFonts w:eastAsia="Times New Roman"/>
                <w:b/>
                <w:bCs/>
                <w:color w:val="000000"/>
                <w:szCs w:val="20"/>
                <w:lang w:bidi="ar-SA"/>
              </w:rPr>
              <w:t>-</w:t>
            </w:r>
            <w:r w:rsidRPr="0096390A">
              <w:rPr>
                <w:rFonts w:eastAsia="Times New Roman"/>
                <w:color w:val="000000"/>
                <w:szCs w:val="20"/>
                <w:lang w:bidi="ar-SA"/>
              </w:rPr>
              <w:t xml:space="preserve"> L’</w:t>
            </w:r>
            <w:r w:rsidRPr="0096390A">
              <w:rPr>
                <w:rFonts w:eastAsia="Times New Roman"/>
                <w:b/>
                <w:bCs/>
                <w:color w:val="000000"/>
                <w:szCs w:val="20"/>
                <w:lang w:bidi="ar-SA"/>
              </w:rPr>
              <w:t>amélioration de l’efficience du Jury de Déontologie Publicitaire (JDP),</w:t>
            </w:r>
            <w:r w:rsidRPr="0096390A">
              <w:rPr>
                <w:rFonts w:eastAsia="Times New Roman"/>
                <w:color w:val="000000"/>
                <w:szCs w:val="20"/>
                <w:lang w:bidi="ar-SA"/>
              </w:rPr>
              <w:t xml:space="preserve"> notamment par le renforcement de la procédure d’urgence et un traitement plus rapide des plaintes.</w:t>
            </w:r>
          </w:p>
          <w:p w14:paraId="2979C8CC" w14:textId="77777777" w:rsidR="000042A6" w:rsidRPr="0096390A" w:rsidRDefault="000042A6" w:rsidP="000042A6">
            <w:pPr>
              <w:spacing w:line="240" w:lineRule="auto"/>
              <w:ind w:right="113"/>
              <w:contextualSpacing/>
              <w:rPr>
                <w:rFonts w:eastAsia="Times New Roman"/>
                <w:color w:val="000000"/>
                <w:szCs w:val="20"/>
                <w:lang w:bidi="ar-SA"/>
              </w:rPr>
            </w:pPr>
            <w:r w:rsidRPr="0096390A">
              <w:rPr>
                <w:rFonts w:eastAsia="Times New Roman"/>
                <w:color w:val="000000"/>
                <w:szCs w:val="20"/>
                <w:u w:val="single"/>
                <w:lang w:bidi="ar-SA"/>
              </w:rPr>
              <w:t>Indicateur </w:t>
            </w:r>
            <w:r w:rsidRPr="0096390A">
              <w:rPr>
                <w:rFonts w:eastAsia="Times New Roman"/>
                <w:color w:val="000000"/>
                <w:szCs w:val="20"/>
                <w:lang w:bidi="ar-SA"/>
              </w:rPr>
              <w:t>: La procédure d’urgence est étendue au bureau du Conseil Paritaire de la Publicité (CPP), quels que soient les motifs exposés dans la procédure d’urgence. Le règlement intérieur du JDP a été modifié pour intégrer l’accélération du délai de traitement des plaintes dans le cadre de la nouvelle procédure d’urgence et la saisine de droit du bureau du CPP. Le Règlement intérieur du CPP a également intégré cette nouvelle mission qui incombe au bureau du Conseil.</w:t>
            </w:r>
          </w:p>
          <w:p w14:paraId="4018FA06" w14:textId="77777777" w:rsidR="000042A6" w:rsidRPr="0096390A" w:rsidRDefault="000042A6" w:rsidP="000042A6">
            <w:pPr>
              <w:spacing w:line="240" w:lineRule="auto"/>
              <w:ind w:left="720" w:right="113"/>
              <w:contextualSpacing/>
              <w:rPr>
                <w:rFonts w:eastAsia="Times New Roman"/>
                <w:color w:val="000000"/>
                <w:szCs w:val="20"/>
                <w:lang w:bidi="ar-SA"/>
              </w:rPr>
            </w:pPr>
            <w:r w:rsidRPr="0096390A">
              <w:rPr>
                <w:rFonts w:eastAsia="Times New Roman"/>
                <w:color w:val="000000"/>
                <w:szCs w:val="20"/>
                <w:lang w:bidi="ar-SA"/>
              </w:rPr>
              <w:br/>
            </w:r>
            <w:r w:rsidRPr="0096390A">
              <w:rPr>
                <w:rFonts w:eastAsia="Times New Roman"/>
                <w:b/>
                <w:color w:val="000000"/>
                <w:szCs w:val="20"/>
                <w:lang w:bidi="ar-SA"/>
              </w:rPr>
              <w:t>- Le renforcement du contrôle des principales campagnes nationales comportant une allégation environnementale.</w:t>
            </w:r>
            <w:r w:rsidRPr="0096390A">
              <w:rPr>
                <w:rFonts w:eastAsia="Times New Roman"/>
                <w:color w:val="000000"/>
                <w:szCs w:val="20"/>
                <w:lang w:bidi="ar-SA"/>
              </w:rPr>
              <w:t xml:space="preserve"> </w:t>
            </w:r>
          </w:p>
          <w:p w14:paraId="193C8FB3" w14:textId="77777777" w:rsidR="000042A6" w:rsidRPr="0096390A" w:rsidRDefault="000042A6" w:rsidP="000042A6">
            <w:pPr>
              <w:spacing w:line="240" w:lineRule="auto"/>
              <w:ind w:right="113"/>
              <w:contextualSpacing/>
              <w:rPr>
                <w:rFonts w:eastAsia="Times New Roman"/>
                <w:color w:val="000000"/>
                <w:szCs w:val="20"/>
                <w:lang w:bidi="ar-SA"/>
              </w:rPr>
            </w:pPr>
            <w:r w:rsidRPr="0096390A">
              <w:rPr>
                <w:rFonts w:eastAsia="Times New Roman"/>
                <w:color w:val="000000"/>
                <w:szCs w:val="20"/>
                <w:lang w:bidi="ar-SA"/>
              </w:rPr>
              <w:t xml:space="preserve">L’ARPP enrichit son périmètre d’action par le renforcement du contrôle avant diffusion, quel que soit le support de diffusion utilisé, des principales campagnes multi-supports nationales comportant une allégation environnementale définie dans le champ d’application de la Recommandation « Développement durable » de l’ARPP. </w:t>
            </w:r>
          </w:p>
          <w:p w14:paraId="43617F7F" w14:textId="77777777" w:rsidR="000042A6" w:rsidRPr="0096390A" w:rsidRDefault="000042A6" w:rsidP="000042A6">
            <w:pPr>
              <w:spacing w:line="240" w:lineRule="auto"/>
              <w:ind w:right="113"/>
              <w:contextualSpacing/>
              <w:rPr>
                <w:rFonts w:eastAsia="Times New Roman"/>
                <w:color w:val="000000"/>
                <w:szCs w:val="20"/>
                <w:lang w:bidi="ar-SA"/>
              </w:rPr>
            </w:pPr>
          </w:p>
          <w:p w14:paraId="0E651131" w14:textId="77777777" w:rsidR="000042A6" w:rsidRPr="0096390A" w:rsidRDefault="000042A6" w:rsidP="000042A6">
            <w:pPr>
              <w:spacing w:line="240" w:lineRule="auto"/>
              <w:ind w:right="113"/>
              <w:contextualSpacing/>
              <w:rPr>
                <w:rFonts w:eastAsia="Times New Roman"/>
                <w:color w:val="000000"/>
                <w:szCs w:val="20"/>
                <w:lang w:bidi="ar-SA"/>
              </w:rPr>
            </w:pPr>
            <w:r w:rsidRPr="0096390A">
              <w:rPr>
                <w:rFonts w:eastAsia="Times New Roman"/>
                <w:color w:val="000000"/>
                <w:szCs w:val="20"/>
                <w:u w:val="single"/>
                <w:lang w:bidi="ar-SA"/>
              </w:rPr>
              <w:t>Indicateur </w:t>
            </w:r>
            <w:r w:rsidRPr="0096390A">
              <w:rPr>
                <w:rFonts w:eastAsia="Times New Roman"/>
                <w:color w:val="000000"/>
                <w:szCs w:val="20"/>
                <w:lang w:bidi="ar-SA"/>
              </w:rPr>
              <w:t xml:space="preserve">:  Le pourcentage des campagnes nationales multi-supports ayant reçu un conseil préalable de l’ARPP au regard des campagnes relevées par l’institut Kantar en métropole sur la période du Bilan d’application de la Recommandation « Développement durable » de l’ARPP réalisés conjointement avec l’Agence de la Transition écologique (ADEME) et conformément au référentiel certifié ISO 9001 :2015.  </w:t>
            </w:r>
          </w:p>
          <w:p w14:paraId="56514769" w14:textId="77777777" w:rsidR="000042A6" w:rsidRPr="0096390A" w:rsidRDefault="000042A6" w:rsidP="000042A6">
            <w:pPr>
              <w:spacing w:line="240" w:lineRule="auto"/>
              <w:ind w:right="113"/>
              <w:contextualSpacing/>
              <w:rPr>
                <w:rFonts w:eastAsia="Times New Roman"/>
                <w:color w:val="000000"/>
                <w:szCs w:val="20"/>
                <w:lang w:bidi="ar-SA"/>
              </w:rPr>
            </w:pPr>
          </w:p>
          <w:p w14:paraId="072D7358" w14:textId="77777777" w:rsidR="000042A6" w:rsidRPr="0096390A" w:rsidRDefault="000042A6" w:rsidP="000042A6">
            <w:pPr>
              <w:spacing w:line="240" w:lineRule="auto"/>
              <w:ind w:left="720" w:right="113"/>
              <w:contextualSpacing/>
              <w:rPr>
                <w:rFonts w:eastAsia="Times New Roman"/>
                <w:b/>
                <w:color w:val="000000"/>
                <w:szCs w:val="20"/>
                <w:lang w:bidi="ar-SA"/>
              </w:rPr>
            </w:pPr>
            <w:r w:rsidRPr="0096390A">
              <w:rPr>
                <w:rFonts w:eastAsia="Times New Roman"/>
                <w:b/>
                <w:color w:val="000000"/>
                <w:szCs w:val="20"/>
                <w:lang w:bidi="ar-SA"/>
              </w:rPr>
              <w:t>- La présentation annuelle par l’ARPP d’un rapport - tous sujets, tous supports - rendant compte de ses activités devant le Parlement et au Conseil Economique, Social et Environnemental (CESE).</w:t>
            </w:r>
          </w:p>
          <w:p w14:paraId="75AEB588" w14:textId="77777777" w:rsidR="000042A6" w:rsidRPr="0096390A" w:rsidRDefault="000042A6" w:rsidP="000042A6">
            <w:pPr>
              <w:spacing w:line="240" w:lineRule="auto"/>
              <w:ind w:right="113"/>
              <w:contextualSpacing/>
              <w:rPr>
                <w:rFonts w:eastAsia="Times New Roman"/>
                <w:color w:val="000000"/>
                <w:szCs w:val="20"/>
                <w:lang w:bidi="ar-SA"/>
              </w:rPr>
            </w:pPr>
            <w:r w:rsidRPr="0096390A">
              <w:rPr>
                <w:rFonts w:eastAsia="Times New Roman"/>
                <w:color w:val="000000"/>
                <w:szCs w:val="20"/>
                <w:lang w:bidi="ar-SA"/>
              </w:rPr>
              <w:t xml:space="preserve">Le Conseil d’administration de l’ARPP a voté cet axe de renforcement de la transparence. La loi portant lutte contre le dérèglement climatique et renforcement de la résilience face à ses effets a introduit à l’article 14 le </w:t>
            </w:r>
            <w:r w:rsidRPr="0096390A">
              <w:rPr>
                <w:rFonts w:eastAsia="Times New Roman"/>
                <w:color w:val="000000"/>
                <w:szCs w:val="20"/>
                <w:lang w:bidi="ar-SA"/>
              </w:rPr>
              <w:lastRenderedPageBreak/>
              <w:t>rapport que l’ARPP doit « </w:t>
            </w:r>
            <w:r w:rsidRPr="0096390A">
              <w:rPr>
                <w:rFonts w:eastAsia="Times New Roman"/>
                <w:i/>
                <w:iCs/>
                <w:color w:val="000000"/>
                <w:szCs w:val="20"/>
                <w:lang w:bidi="ar-SA"/>
              </w:rPr>
              <w:t>adresser chaque année au Parlement faisant état des dispositifs d’autorégulation existants et présentant le bilan de leur actions</w:t>
            </w:r>
            <w:r w:rsidRPr="0096390A">
              <w:rPr>
                <w:rFonts w:eastAsia="Times New Roman"/>
                <w:color w:val="000000"/>
                <w:szCs w:val="20"/>
                <w:lang w:bidi="ar-SA"/>
              </w:rPr>
              <w:t xml:space="preserve"> ».</w:t>
            </w:r>
          </w:p>
          <w:p w14:paraId="4A7715F2" w14:textId="77777777" w:rsidR="000042A6" w:rsidRPr="0096390A" w:rsidRDefault="000042A6" w:rsidP="000042A6">
            <w:pPr>
              <w:spacing w:line="240" w:lineRule="auto"/>
              <w:ind w:left="720" w:right="113"/>
              <w:contextualSpacing/>
              <w:rPr>
                <w:rFonts w:eastAsia="Times New Roman"/>
                <w:color w:val="000000"/>
                <w:szCs w:val="20"/>
                <w:lang w:bidi="ar-SA"/>
              </w:rPr>
            </w:pPr>
          </w:p>
          <w:p w14:paraId="5591C259" w14:textId="77777777" w:rsidR="000042A6" w:rsidRPr="0096390A" w:rsidRDefault="000042A6" w:rsidP="000042A6">
            <w:pPr>
              <w:numPr>
                <w:ilvl w:val="0"/>
                <w:numId w:val="8"/>
              </w:numPr>
              <w:spacing w:line="240" w:lineRule="auto"/>
              <w:ind w:right="113"/>
              <w:contextualSpacing/>
              <w:rPr>
                <w:rFonts w:eastAsia="Times New Roman"/>
                <w:b/>
                <w:color w:val="000000"/>
                <w:szCs w:val="20"/>
                <w:lang w:bidi="ar-SA"/>
              </w:rPr>
            </w:pPr>
            <w:r w:rsidRPr="0096390A">
              <w:rPr>
                <w:rFonts w:eastAsia="Times New Roman"/>
                <w:b/>
                <w:color w:val="000000"/>
                <w:szCs w:val="20"/>
                <w:lang w:bidi="ar-SA"/>
              </w:rPr>
              <w:t xml:space="preserve">L’organisation de Forums pour mettre en place des échanges entre les instances associées et des associations ou experts non représentés au sein du dispositif de l’ARPP. </w:t>
            </w:r>
          </w:p>
          <w:p w14:paraId="53D9BD94" w14:textId="77777777" w:rsidR="000042A6" w:rsidRPr="0096390A" w:rsidRDefault="000042A6" w:rsidP="000042A6">
            <w:pPr>
              <w:spacing w:line="240" w:lineRule="auto"/>
              <w:ind w:right="113"/>
              <w:contextualSpacing/>
              <w:rPr>
                <w:rFonts w:eastAsia="Times New Roman"/>
                <w:color w:val="000000"/>
                <w:szCs w:val="20"/>
                <w:lang w:bidi="ar-SA"/>
              </w:rPr>
            </w:pPr>
            <w:r w:rsidRPr="0096390A">
              <w:rPr>
                <w:rFonts w:eastAsia="Times New Roman"/>
                <w:color w:val="000000"/>
                <w:szCs w:val="20"/>
                <w:u w:val="single"/>
                <w:lang w:bidi="ar-SA"/>
              </w:rPr>
              <w:t>Indicateur</w:t>
            </w:r>
            <w:r w:rsidRPr="0096390A">
              <w:rPr>
                <w:rFonts w:eastAsia="Times New Roman"/>
                <w:color w:val="000000"/>
                <w:szCs w:val="20"/>
                <w:lang w:bidi="ar-SA"/>
              </w:rPr>
              <w:t> : Thématique sociétale et date du Forum organisé annuellement.</w:t>
            </w:r>
          </w:p>
          <w:p w14:paraId="634AAA29" w14:textId="77777777" w:rsidR="000042A6" w:rsidRPr="0096390A" w:rsidRDefault="000042A6" w:rsidP="000042A6">
            <w:pPr>
              <w:spacing w:line="240" w:lineRule="auto"/>
              <w:ind w:right="113"/>
              <w:contextualSpacing/>
              <w:rPr>
                <w:rFonts w:eastAsia="Times New Roman"/>
                <w:color w:val="000000"/>
                <w:szCs w:val="20"/>
                <w:lang w:bidi="ar-SA"/>
              </w:rPr>
            </w:pPr>
          </w:p>
          <w:p w14:paraId="426EC71A" w14:textId="77777777" w:rsidR="000042A6" w:rsidRPr="0096390A" w:rsidRDefault="000042A6" w:rsidP="000042A6">
            <w:pPr>
              <w:pStyle w:val="Paragraphedeliste"/>
              <w:numPr>
                <w:ilvl w:val="0"/>
                <w:numId w:val="8"/>
              </w:numPr>
              <w:spacing w:line="240" w:lineRule="auto"/>
              <w:ind w:right="113"/>
              <w:rPr>
                <w:rFonts w:eastAsia="Times New Roman"/>
                <w:b/>
                <w:color w:val="000000"/>
                <w:szCs w:val="20"/>
                <w:lang w:bidi="ar-SA"/>
              </w:rPr>
            </w:pPr>
            <w:r w:rsidRPr="0096390A">
              <w:rPr>
                <w:rFonts w:eastAsia="Times New Roman"/>
                <w:b/>
                <w:color w:val="000000"/>
                <w:szCs w:val="20"/>
                <w:lang w:bidi="ar-SA"/>
              </w:rPr>
              <w:t xml:space="preserve">L’intensification des actions de sensibilisation relatives à la Recommandation « Développement durable » de l’ARPP. </w:t>
            </w:r>
          </w:p>
          <w:p w14:paraId="2ED912FA" w14:textId="77777777" w:rsidR="000042A6" w:rsidRPr="0096390A" w:rsidRDefault="000042A6" w:rsidP="000042A6">
            <w:pPr>
              <w:spacing w:line="240" w:lineRule="auto"/>
              <w:ind w:right="113"/>
              <w:contextualSpacing/>
              <w:rPr>
                <w:rFonts w:eastAsia="Times New Roman"/>
                <w:color w:val="000000"/>
                <w:szCs w:val="20"/>
                <w:lang w:bidi="ar-SA"/>
              </w:rPr>
            </w:pPr>
            <w:r w:rsidRPr="0096390A">
              <w:rPr>
                <w:rFonts w:eastAsia="Times New Roman"/>
                <w:color w:val="000000"/>
                <w:szCs w:val="20"/>
                <w:u w:val="single"/>
                <w:lang w:bidi="ar-SA"/>
              </w:rPr>
              <w:t>Indicateur </w:t>
            </w:r>
            <w:r w:rsidRPr="0096390A">
              <w:rPr>
                <w:rFonts w:eastAsia="Times New Roman"/>
                <w:color w:val="000000"/>
                <w:szCs w:val="20"/>
                <w:lang w:bidi="ar-SA"/>
              </w:rPr>
              <w:t xml:space="preserve">: Nombre d’actions de sensibilisation, de formation et de pédagogie relatives aux règles déontologiques contenues dans la Recommandation « Développement durable » de l’ARPP en direction des professionnels (annonceurs, agences, régies, médias, écoles/formations professionnelles, influenceurs, etc…). </w:t>
            </w:r>
          </w:p>
          <w:p w14:paraId="58B9D530" w14:textId="77777777" w:rsidR="000042A6" w:rsidRPr="0096390A" w:rsidRDefault="000042A6" w:rsidP="000042A6">
            <w:pPr>
              <w:numPr>
                <w:ilvl w:val="0"/>
                <w:numId w:val="8"/>
              </w:numPr>
              <w:spacing w:line="240" w:lineRule="auto"/>
              <w:ind w:right="113"/>
              <w:contextualSpacing/>
              <w:rPr>
                <w:rFonts w:eastAsia="Times New Roman"/>
                <w:b/>
                <w:bCs/>
                <w:color w:val="000000"/>
                <w:szCs w:val="20"/>
                <w:lang w:bidi="ar-SA"/>
              </w:rPr>
            </w:pPr>
            <w:r w:rsidRPr="0096390A">
              <w:rPr>
                <w:rFonts w:eastAsia="Times New Roman"/>
                <w:color w:val="000000"/>
                <w:szCs w:val="20"/>
                <w:lang w:bidi="ar-SA"/>
              </w:rPr>
              <w:t>Le</w:t>
            </w:r>
            <w:r w:rsidRPr="0096390A">
              <w:rPr>
                <w:rFonts w:eastAsia="Times New Roman"/>
                <w:b/>
                <w:bCs/>
                <w:color w:val="000000"/>
                <w:szCs w:val="20"/>
                <w:lang w:bidi="ar-SA"/>
              </w:rPr>
              <w:t xml:space="preserve"> contrôle systématique avant diffusion des publicités télévisées adapté aux enjeux climatiques. </w:t>
            </w:r>
          </w:p>
          <w:p w14:paraId="6C348081" w14:textId="77777777" w:rsidR="000042A6" w:rsidRPr="0096390A" w:rsidRDefault="000042A6" w:rsidP="000042A6">
            <w:pPr>
              <w:spacing w:line="240" w:lineRule="auto"/>
              <w:ind w:right="113"/>
              <w:contextualSpacing/>
              <w:rPr>
                <w:rFonts w:eastAsia="Times New Roman"/>
                <w:color w:val="000000"/>
                <w:szCs w:val="20"/>
                <w:lang w:bidi="ar-SA"/>
              </w:rPr>
            </w:pPr>
            <w:r w:rsidRPr="0096390A">
              <w:rPr>
                <w:rFonts w:eastAsia="Times New Roman"/>
                <w:color w:val="000000"/>
                <w:szCs w:val="20"/>
                <w:u w:val="single"/>
                <w:lang w:bidi="ar-SA"/>
              </w:rPr>
              <w:t>Indicateur :</w:t>
            </w:r>
            <w:r w:rsidRPr="0096390A">
              <w:rPr>
                <w:rFonts w:eastAsia="Times New Roman"/>
                <w:color w:val="000000"/>
                <w:szCs w:val="20"/>
                <w:lang w:bidi="ar-SA"/>
              </w:rPr>
              <w:t xml:space="preserve"> Nombre d’Avis définitifs délivrés pour les publicités télévisées rendus au regard de la Recommandation « Développement durable » de l’ARPP.</w:t>
            </w:r>
          </w:p>
          <w:p w14:paraId="3532CE8C" w14:textId="77777777" w:rsidR="000042A6" w:rsidRPr="0096390A" w:rsidRDefault="000042A6" w:rsidP="000042A6">
            <w:pPr>
              <w:spacing w:line="240" w:lineRule="auto"/>
              <w:ind w:right="113"/>
              <w:contextualSpacing/>
              <w:rPr>
                <w:rFonts w:eastAsia="Times New Roman"/>
                <w:color w:val="000000"/>
                <w:szCs w:val="20"/>
                <w:lang w:bidi="ar-SA"/>
              </w:rPr>
            </w:pPr>
          </w:p>
          <w:p w14:paraId="792AAA19" w14:textId="77777777" w:rsidR="000042A6" w:rsidRPr="0096390A" w:rsidRDefault="000042A6" w:rsidP="000042A6">
            <w:pPr>
              <w:numPr>
                <w:ilvl w:val="0"/>
                <w:numId w:val="8"/>
              </w:numPr>
              <w:spacing w:line="240" w:lineRule="auto"/>
              <w:ind w:right="113"/>
              <w:contextualSpacing/>
              <w:rPr>
                <w:rFonts w:eastAsia="Times New Roman"/>
                <w:b/>
                <w:bCs/>
                <w:color w:val="000000"/>
                <w:szCs w:val="20"/>
                <w:lang w:bidi="ar-SA"/>
              </w:rPr>
            </w:pPr>
            <w:r w:rsidRPr="0096390A">
              <w:rPr>
                <w:rFonts w:eastAsia="Times New Roman"/>
                <w:color w:val="000000"/>
                <w:szCs w:val="20"/>
                <w:lang w:bidi="ar-SA"/>
              </w:rPr>
              <w:t>L’</w:t>
            </w:r>
            <w:r w:rsidRPr="0096390A">
              <w:rPr>
                <w:rFonts w:eastAsia="Times New Roman"/>
                <w:b/>
                <w:bCs/>
                <w:color w:val="000000"/>
                <w:szCs w:val="20"/>
                <w:lang w:bidi="ar-SA"/>
              </w:rPr>
              <w:t>enrichissement de son périmètre d’action par le renforcement du contrôle à la diffusion et après diffusion sur toutes les formes de communication publicit</w:t>
            </w:r>
            <w:r w:rsidR="00333431" w:rsidRPr="0096390A">
              <w:rPr>
                <w:rFonts w:eastAsia="Times New Roman"/>
                <w:b/>
                <w:bCs/>
                <w:color w:val="000000"/>
                <w:szCs w:val="20"/>
                <w:lang w:bidi="ar-SA"/>
              </w:rPr>
              <w:t>aire numérique de l’application</w:t>
            </w:r>
            <w:r w:rsidRPr="0096390A">
              <w:rPr>
                <w:rFonts w:eastAsia="Times New Roman"/>
                <w:b/>
                <w:bCs/>
                <w:color w:val="000000"/>
                <w:szCs w:val="20"/>
                <w:lang w:bidi="ar-SA"/>
              </w:rPr>
              <w:t xml:space="preserve"> des règles contenues dans la Recommandation « Développement durable » de l’ARPP. </w:t>
            </w:r>
          </w:p>
          <w:p w14:paraId="74CC67BB" w14:textId="77777777" w:rsidR="000042A6" w:rsidRPr="0096390A" w:rsidRDefault="000042A6" w:rsidP="000042A6">
            <w:pPr>
              <w:spacing w:line="240" w:lineRule="auto"/>
              <w:ind w:right="113"/>
              <w:contextualSpacing/>
              <w:rPr>
                <w:rFonts w:eastAsia="Times New Roman"/>
                <w:color w:val="000000"/>
                <w:szCs w:val="20"/>
                <w:lang w:bidi="ar-SA"/>
              </w:rPr>
            </w:pPr>
            <w:r w:rsidRPr="0096390A">
              <w:rPr>
                <w:rFonts w:eastAsia="Times New Roman"/>
                <w:color w:val="000000"/>
                <w:szCs w:val="20"/>
                <w:u w:val="single"/>
                <w:lang w:bidi="ar-SA"/>
              </w:rPr>
              <w:t>Indicateur </w:t>
            </w:r>
            <w:r w:rsidRPr="0096390A">
              <w:rPr>
                <w:rFonts w:eastAsia="Times New Roman"/>
                <w:color w:val="000000"/>
                <w:szCs w:val="20"/>
                <w:lang w:bidi="ar-SA"/>
              </w:rPr>
              <w:t xml:space="preserve">: Le bilan d’application de la Recommandation « Développement durable » de l’ARPP, réalisé conjointement avec l’Agence de la Transition écologique (ADEME) et conformément au référentiel certifié ISO </w:t>
            </w:r>
            <w:proofErr w:type="gramStart"/>
            <w:r w:rsidRPr="0096390A">
              <w:rPr>
                <w:rFonts w:eastAsia="Times New Roman"/>
                <w:color w:val="000000"/>
                <w:szCs w:val="20"/>
                <w:lang w:bidi="ar-SA"/>
              </w:rPr>
              <w:t>9001:</w:t>
            </w:r>
            <w:proofErr w:type="gramEnd"/>
            <w:r w:rsidRPr="0096390A">
              <w:rPr>
                <w:rFonts w:eastAsia="Times New Roman"/>
                <w:color w:val="000000"/>
                <w:szCs w:val="20"/>
                <w:lang w:bidi="ar-SA"/>
              </w:rPr>
              <w:t>2015, qui sera rendu public. Ces bilans dont le périmètre couvre le numérique permettent de vérifier la bonne application des règles contenues dans cette Recommandation tout en intervenant auprès de l’annonceur en cas de non-conformité.</w:t>
            </w:r>
          </w:p>
          <w:p w14:paraId="60B46B71" w14:textId="77777777" w:rsidR="000042A6" w:rsidRPr="0096390A" w:rsidRDefault="000042A6" w:rsidP="000042A6">
            <w:pPr>
              <w:spacing w:line="240" w:lineRule="auto"/>
              <w:ind w:right="113"/>
              <w:contextualSpacing/>
              <w:rPr>
                <w:rFonts w:eastAsia="Times New Roman"/>
                <w:color w:val="000000"/>
                <w:szCs w:val="20"/>
                <w:lang w:bidi="ar-SA"/>
              </w:rPr>
            </w:pPr>
          </w:p>
          <w:p w14:paraId="048AA74B" w14:textId="77777777" w:rsidR="000042A6" w:rsidRPr="0096390A" w:rsidRDefault="000042A6" w:rsidP="000042A6">
            <w:pPr>
              <w:numPr>
                <w:ilvl w:val="0"/>
                <w:numId w:val="8"/>
              </w:numPr>
              <w:spacing w:line="240" w:lineRule="auto"/>
              <w:ind w:right="113"/>
              <w:contextualSpacing/>
              <w:rPr>
                <w:rFonts w:eastAsia="Times New Roman"/>
                <w:color w:val="000000"/>
                <w:szCs w:val="20"/>
                <w:lang w:bidi="ar-SA"/>
              </w:rPr>
            </w:pPr>
            <w:r w:rsidRPr="0096390A">
              <w:rPr>
                <w:rFonts w:eastAsia="Times New Roman"/>
                <w:color w:val="000000"/>
                <w:szCs w:val="20"/>
                <w:lang w:bidi="ar-SA"/>
              </w:rPr>
              <w:t>L’</w:t>
            </w:r>
            <w:r w:rsidRPr="0096390A">
              <w:rPr>
                <w:rFonts w:eastAsia="Times New Roman"/>
                <w:b/>
                <w:bCs/>
                <w:color w:val="000000"/>
                <w:szCs w:val="20"/>
                <w:lang w:bidi="ar-SA"/>
              </w:rPr>
              <w:t>accompagnement des acteurs dans le respect de leurs engagements respectifs</w:t>
            </w:r>
            <w:r w:rsidRPr="0096390A">
              <w:rPr>
                <w:rFonts w:eastAsia="Times New Roman"/>
                <w:color w:val="000000"/>
                <w:szCs w:val="20"/>
                <w:lang w:bidi="ar-SA"/>
              </w:rPr>
              <w:t xml:space="preserve">. </w:t>
            </w:r>
          </w:p>
          <w:p w14:paraId="5640A889" w14:textId="77777777" w:rsidR="000042A6" w:rsidRPr="0096390A" w:rsidRDefault="000042A6" w:rsidP="000042A6">
            <w:pPr>
              <w:spacing w:line="240" w:lineRule="auto"/>
              <w:ind w:right="113"/>
              <w:contextualSpacing/>
              <w:rPr>
                <w:rFonts w:eastAsia="Times New Roman"/>
                <w:color w:val="000000"/>
                <w:szCs w:val="20"/>
                <w:lang w:bidi="ar-SA"/>
              </w:rPr>
            </w:pPr>
            <w:r w:rsidRPr="0096390A">
              <w:rPr>
                <w:rFonts w:eastAsia="Times New Roman"/>
                <w:color w:val="000000"/>
                <w:szCs w:val="20"/>
                <w:u w:val="single"/>
                <w:lang w:bidi="ar-SA"/>
              </w:rPr>
              <w:t>Indicateur </w:t>
            </w:r>
            <w:r w:rsidRPr="0096390A">
              <w:rPr>
                <w:rFonts w:eastAsia="Times New Roman"/>
                <w:color w:val="000000"/>
                <w:szCs w:val="20"/>
                <w:lang w:bidi="ar-SA"/>
              </w:rPr>
              <w:t>: L’ARPP accompagnera les acteurs et filières signataires dans leurs engagements respectifs relatifs au contenu des messages publicitaires et fera état de ses actions d’accompagnement.</w:t>
            </w:r>
          </w:p>
          <w:p w14:paraId="098E63C5" w14:textId="77777777" w:rsidR="000042A6" w:rsidRPr="0096390A" w:rsidRDefault="000042A6" w:rsidP="000042A6">
            <w:pPr>
              <w:spacing w:line="240" w:lineRule="auto"/>
              <w:ind w:right="113"/>
              <w:contextualSpacing/>
              <w:rPr>
                <w:rFonts w:eastAsia="Times New Roman"/>
                <w:color w:val="000000"/>
                <w:szCs w:val="20"/>
                <w:lang w:bidi="ar-SA"/>
              </w:rPr>
            </w:pPr>
          </w:p>
          <w:p w14:paraId="3696216F" w14:textId="77777777" w:rsidR="000042A6" w:rsidRPr="0096390A" w:rsidRDefault="000042A6" w:rsidP="000042A6">
            <w:pPr>
              <w:numPr>
                <w:ilvl w:val="0"/>
                <w:numId w:val="8"/>
              </w:numPr>
              <w:spacing w:line="240" w:lineRule="auto"/>
              <w:ind w:right="113"/>
              <w:contextualSpacing/>
              <w:rPr>
                <w:rFonts w:eastAsia="Times New Roman"/>
                <w:color w:val="000000"/>
                <w:szCs w:val="20"/>
                <w:lang w:bidi="ar-SA"/>
              </w:rPr>
            </w:pPr>
            <w:r w:rsidRPr="0096390A">
              <w:rPr>
                <w:rFonts w:eastAsia="Times New Roman"/>
                <w:color w:val="000000"/>
                <w:szCs w:val="20"/>
                <w:lang w:bidi="ar-SA"/>
              </w:rPr>
              <w:t xml:space="preserve">Le </w:t>
            </w:r>
            <w:r w:rsidRPr="0096390A">
              <w:rPr>
                <w:rFonts w:eastAsia="Times New Roman"/>
                <w:b/>
                <w:bCs/>
                <w:color w:val="000000"/>
                <w:szCs w:val="20"/>
                <w:lang w:bidi="ar-SA"/>
              </w:rPr>
              <w:t>suivi du développement par les annonceurs des campagnes ad hoc pour la promotion des usages et consommations durables</w:t>
            </w:r>
            <w:r w:rsidRPr="0096390A">
              <w:rPr>
                <w:rFonts w:eastAsia="Times New Roman"/>
                <w:color w:val="000000"/>
                <w:szCs w:val="20"/>
                <w:lang w:bidi="ar-SA"/>
              </w:rPr>
              <w:t xml:space="preserve"> </w:t>
            </w:r>
          </w:p>
          <w:p w14:paraId="388D60E3" w14:textId="77777777" w:rsidR="00224B7D" w:rsidRPr="0096390A" w:rsidRDefault="000042A6" w:rsidP="008E7C2E">
            <w:pPr>
              <w:spacing w:line="240" w:lineRule="auto"/>
              <w:ind w:right="113"/>
              <w:contextualSpacing/>
              <w:rPr>
                <w:rFonts w:eastAsia="Times New Roman"/>
                <w:color w:val="000000"/>
                <w:szCs w:val="20"/>
                <w:lang w:bidi="ar-SA"/>
              </w:rPr>
            </w:pPr>
            <w:r w:rsidRPr="0096390A">
              <w:rPr>
                <w:rFonts w:eastAsia="Times New Roman"/>
                <w:color w:val="000000"/>
                <w:szCs w:val="20"/>
                <w:u w:val="single"/>
                <w:lang w:bidi="ar-SA"/>
              </w:rPr>
              <w:t>Indicateur</w:t>
            </w:r>
            <w:r w:rsidRPr="0096390A">
              <w:rPr>
                <w:rFonts w:eastAsia="Times New Roman"/>
                <w:color w:val="000000"/>
                <w:szCs w:val="20"/>
                <w:lang w:bidi="ar-SA"/>
              </w:rPr>
              <w:t> : L’ARPP suivra le développement par les annonceurs des campagnes de communication ad hoc faisant la promotion des usages et consommations durable et fera état des actions menées.</w:t>
            </w:r>
          </w:p>
          <w:p w14:paraId="22CABBD5" w14:textId="77777777" w:rsidR="00224B7D" w:rsidRPr="0096390A" w:rsidRDefault="00224B7D" w:rsidP="00E53B15">
            <w:pPr>
              <w:spacing w:line="240" w:lineRule="auto"/>
              <w:ind w:right="113"/>
              <w:contextualSpacing/>
              <w:rPr>
                <w:rFonts w:eastAsia="Times New Roman"/>
                <w:i/>
                <w:color w:val="000000"/>
                <w:szCs w:val="20"/>
                <w:lang w:bidi="ar-SA"/>
              </w:rPr>
            </w:pPr>
          </w:p>
        </w:tc>
      </w:tr>
      <w:tr w:rsidR="00224B7D" w:rsidRPr="0096390A" w14:paraId="006F4B34" w14:textId="77777777" w:rsidTr="008E7C2E">
        <w:trPr>
          <w:trHeight w:val="850"/>
        </w:trPr>
        <w:tc>
          <w:tcPr>
            <w:tcW w:w="10217" w:type="dxa"/>
            <w:gridSpan w:val="4"/>
            <w:tcBorders>
              <w:top w:val="single" w:sz="18" w:space="0" w:color="002060"/>
              <w:left w:val="single" w:sz="18" w:space="0" w:color="002060"/>
              <w:bottom w:val="single" w:sz="18" w:space="0" w:color="002060"/>
              <w:right w:val="single" w:sz="18" w:space="0" w:color="002060"/>
            </w:tcBorders>
            <w:shd w:val="clear" w:color="auto" w:fill="002060"/>
            <w:vAlign w:val="center"/>
            <w:hideMark/>
          </w:tcPr>
          <w:p w14:paraId="20A1E7BA" w14:textId="77777777" w:rsidR="00224B7D" w:rsidRPr="0096390A" w:rsidRDefault="00224B7D" w:rsidP="008E7C2E">
            <w:pPr>
              <w:spacing w:line="240" w:lineRule="auto"/>
              <w:ind w:right="113"/>
              <w:contextualSpacing/>
              <w:jc w:val="center"/>
              <w:rPr>
                <w:b/>
                <w:bCs/>
                <w:noProof/>
                <w:color w:val="FFFFFF" w:themeColor="background1"/>
                <w:szCs w:val="20"/>
                <w:lang w:eastAsia="en-US" w:bidi="ar-SA"/>
              </w:rPr>
            </w:pPr>
            <w:r w:rsidRPr="0096390A">
              <w:rPr>
                <w:b/>
                <w:bCs/>
                <w:noProof/>
                <w:color w:val="FFFFFF" w:themeColor="background1"/>
                <w:szCs w:val="20"/>
                <w:lang w:eastAsia="en-US" w:bidi="ar-SA"/>
              </w:rPr>
              <w:lastRenderedPageBreak/>
              <w:t>Contrat sectoriel</w:t>
            </w:r>
          </w:p>
          <w:p w14:paraId="7E438C6E" w14:textId="77777777" w:rsidR="00224B7D" w:rsidRPr="0096390A" w:rsidRDefault="00224B7D" w:rsidP="00224B7D">
            <w:pPr>
              <w:spacing w:line="240" w:lineRule="auto"/>
              <w:ind w:right="113"/>
              <w:contextualSpacing/>
              <w:jc w:val="center"/>
              <w:rPr>
                <w:b/>
                <w:bCs/>
                <w:noProof/>
                <w:szCs w:val="20"/>
                <w:lang w:eastAsia="en-US" w:bidi="ar-SA"/>
              </w:rPr>
            </w:pPr>
            <w:r w:rsidRPr="0096390A">
              <w:rPr>
                <w:b/>
                <w:bCs/>
                <w:i/>
                <w:color w:val="FFFFFF" w:themeColor="background1"/>
                <w:szCs w:val="20"/>
                <w:lang w:eastAsia="en-US" w:bidi="ar-SA"/>
              </w:rPr>
              <w:t>Section à compléter</w:t>
            </w:r>
          </w:p>
        </w:tc>
      </w:tr>
      <w:tr w:rsidR="00224B7D" w:rsidRPr="0096390A" w14:paraId="751DF881" w14:textId="77777777" w:rsidTr="008E7C2E">
        <w:trPr>
          <w:trHeight w:val="850"/>
        </w:trPr>
        <w:tc>
          <w:tcPr>
            <w:tcW w:w="10217" w:type="dxa"/>
            <w:gridSpan w:val="4"/>
            <w:tcBorders>
              <w:top w:val="single" w:sz="18" w:space="0" w:color="002060"/>
              <w:left w:val="single" w:sz="18" w:space="0" w:color="002060"/>
              <w:bottom w:val="single" w:sz="18" w:space="0" w:color="002060"/>
              <w:right w:val="single" w:sz="18" w:space="0" w:color="002060"/>
            </w:tcBorders>
            <w:shd w:val="clear" w:color="auto" w:fill="DFF1F5"/>
            <w:vAlign w:val="center"/>
          </w:tcPr>
          <w:p w14:paraId="48A4CB74" w14:textId="77777777" w:rsidR="00224B7D" w:rsidRPr="0096390A" w:rsidRDefault="00224B7D" w:rsidP="008E7C2E">
            <w:pPr>
              <w:spacing w:line="240" w:lineRule="auto"/>
              <w:ind w:right="113"/>
              <w:contextualSpacing/>
              <w:jc w:val="center"/>
              <w:rPr>
                <w:b/>
                <w:bCs/>
                <w:szCs w:val="20"/>
                <w:lang w:eastAsia="en-US" w:bidi="ar-SA"/>
              </w:rPr>
            </w:pPr>
            <w:r w:rsidRPr="0096390A">
              <w:rPr>
                <w:b/>
                <w:bCs/>
                <w:noProof/>
                <w:szCs w:val="20"/>
                <w:lang w:eastAsia="en-US" w:bidi="ar-SA"/>
              </w:rPr>
              <w:t>AXE 1 – T</w:t>
            </w:r>
            <w:proofErr w:type="spellStart"/>
            <w:r w:rsidRPr="0096390A">
              <w:rPr>
                <w:b/>
                <w:bCs/>
                <w:szCs w:val="20"/>
                <w:lang w:eastAsia="en-US" w:bidi="ar-SA"/>
              </w:rPr>
              <w:t>ype</w:t>
            </w:r>
            <w:proofErr w:type="spellEnd"/>
            <w:r w:rsidRPr="0096390A">
              <w:rPr>
                <w:b/>
                <w:bCs/>
                <w:szCs w:val="20"/>
                <w:lang w:eastAsia="en-US" w:bidi="ar-SA"/>
              </w:rPr>
              <w:t xml:space="preserve"> de produits et services promus dans les communications commerciales </w:t>
            </w:r>
          </w:p>
        </w:tc>
      </w:tr>
      <w:tr w:rsidR="00103CFA" w:rsidRPr="0096390A" w14:paraId="27FCECD3" w14:textId="77777777" w:rsidTr="001E4DAC">
        <w:trPr>
          <w:gridAfter w:val="1"/>
          <w:wAfter w:w="10" w:type="dxa"/>
          <w:trHeight w:val="567"/>
        </w:trPr>
        <w:tc>
          <w:tcPr>
            <w:tcW w:w="10207" w:type="dxa"/>
            <w:gridSpan w:val="3"/>
            <w:tcBorders>
              <w:top w:val="single" w:sz="18" w:space="0" w:color="auto"/>
              <w:left w:val="single" w:sz="18" w:space="0" w:color="002060"/>
              <w:bottom w:val="single" w:sz="18" w:space="0" w:color="002060"/>
              <w:right w:val="single" w:sz="18" w:space="0" w:color="002060"/>
            </w:tcBorders>
            <w:shd w:val="clear" w:color="auto" w:fill="BFBFBF" w:themeFill="background1" w:themeFillShade="BF"/>
            <w:vAlign w:val="center"/>
          </w:tcPr>
          <w:p w14:paraId="19D37097" w14:textId="77777777" w:rsidR="00103CFA" w:rsidRPr="0096390A" w:rsidRDefault="00103CFA" w:rsidP="008E7C2E">
            <w:pPr>
              <w:spacing w:line="240" w:lineRule="auto"/>
              <w:ind w:right="113"/>
              <w:contextualSpacing/>
              <w:jc w:val="center"/>
              <w:rPr>
                <w:b/>
                <w:bCs/>
                <w:szCs w:val="20"/>
                <w:lang w:eastAsia="en-US" w:bidi="ar-SA"/>
              </w:rPr>
            </w:pPr>
            <w:r w:rsidRPr="0096390A">
              <w:rPr>
                <w:b/>
                <w:bCs/>
                <w:szCs w:val="20"/>
                <w:lang w:eastAsia="en-US" w:bidi="ar-SA"/>
              </w:rPr>
              <w:t>A l’échelle de la branche sectorielle / fédération / association / etc.</w:t>
            </w:r>
          </w:p>
          <w:p w14:paraId="5F9310EB" w14:textId="77777777" w:rsidR="00103CFA" w:rsidRPr="0096390A" w:rsidRDefault="00103CFA" w:rsidP="008E7C2E">
            <w:pPr>
              <w:spacing w:line="240" w:lineRule="auto"/>
              <w:ind w:right="113"/>
              <w:contextualSpacing/>
              <w:jc w:val="center"/>
              <w:rPr>
                <w:b/>
                <w:bCs/>
                <w:szCs w:val="20"/>
                <w:lang w:eastAsia="en-US" w:bidi="ar-SA"/>
              </w:rPr>
            </w:pPr>
            <w:r w:rsidRPr="0096390A">
              <w:rPr>
                <w:b/>
                <w:bCs/>
                <w:szCs w:val="20"/>
                <w:lang w:eastAsia="en-US" w:bidi="ar-SA"/>
              </w:rPr>
              <w:t xml:space="preserve">A l’échelle de l’entreprise </w:t>
            </w:r>
          </w:p>
        </w:tc>
      </w:tr>
      <w:tr w:rsidR="00E53B15" w:rsidRPr="0096390A" w14:paraId="367A9E7F" w14:textId="77777777" w:rsidTr="00C62DBA">
        <w:trPr>
          <w:gridAfter w:val="1"/>
          <w:wAfter w:w="10" w:type="dxa"/>
          <w:trHeight w:val="567"/>
        </w:trPr>
        <w:tc>
          <w:tcPr>
            <w:tcW w:w="5102" w:type="dxa"/>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2D16323F" w14:textId="77777777" w:rsidR="00103CFA" w:rsidRPr="0096390A" w:rsidRDefault="00103CFA" w:rsidP="008E7C2E">
            <w:pPr>
              <w:spacing w:line="240" w:lineRule="auto"/>
              <w:ind w:right="113"/>
              <w:contextualSpacing/>
              <w:jc w:val="center"/>
              <w:rPr>
                <w:b/>
                <w:bCs/>
                <w:szCs w:val="20"/>
                <w:u w:val="single"/>
                <w:lang w:eastAsia="en-US" w:bidi="ar-SA"/>
              </w:rPr>
            </w:pPr>
          </w:p>
          <w:p w14:paraId="47925B53" w14:textId="77777777" w:rsidR="00E53B15" w:rsidRPr="0096390A" w:rsidRDefault="00E53B15" w:rsidP="008E7C2E">
            <w:pPr>
              <w:spacing w:line="240" w:lineRule="auto"/>
              <w:ind w:right="113"/>
              <w:contextualSpacing/>
              <w:jc w:val="center"/>
              <w:rPr>
                <w:b/>
                <w:bCs/>
                <w:szCs w:val="20"/>
                <w:u w:val="single"/>
                <w:lang w:eastAsia="en-US" w:bidi="ar-SA"/>
              </w:rPr>
            </w:pPr>
            <w:r w:rsidRPr="0096390A">
              <w:rPr>
                <w:b/>
                <w:bCs/>
                <w:szCs w:val="20"/>
                <w:u w:val="single"/>
                <w:lang w:eastAsia="en-US" w:bidi="ar-SA"/>
              </w:rPr>
              <w:t>Engagements</w:t>
            </w:r>
          </w:p>
          <w:p w14:paraId="54C66115" w14:textId="77777777" w:rsidR="00E53B15" w:rsidRPr="0096390A" w:rsidRDefault="00E53B15" w:rsidP="008E7C2E">
            <w:pPr>
              <w:spacing w:line="240" w:lineRule="auto"/>
              <w:ind w:right="113"/>
              <w:contextualSpacing/>
              <w:jc w:val="center"/>
              <w:rPr>
                <w:szCs w:val="20"/>
                <w:u w:val="single"/>
                <w:lang w:eastAsia="en-US" w:bidi="ar-SA"/>
              </w:rPr>
            </w:pPr>
          </w:p>
        </w:tc>
        <w:tc>
          <w:tcPr>
            <w:tcW w:w="5105" w:type="dxa"/>
            <w:gridSpan w:val="2"/>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59874BFA" w14:textId="77777777" w:rsidR="00E53B15" w:rsidRPr="0096390A" w:rsidRDefault="00E53B15" w:rsidP="00E53B15">
            <w:pPr>
              <w:spacing w:line="240" w:lineRule="auto"/>
              <w:ind w:right="113"/>
              <w:contextualSpacing/>
              <w:jc w:val="center"/>
              <w:rPr>
                <w:b/>
                <w:bCs/>
                <w:szCs w:val="20"/>
                <w:u w:val="single"/>
                <w:lang w:eastAsia="en-US" w:bidi="ar-SA"/>
              </w:rPr>
            </w:pPr>
            <w:r w:rsidRPr="0096390A">
              <w:rPr>
                <w:b/>
                <w:bCs/>
                <w:szCs w:val="20"/>
                <w:u w:val="single"/>
                <w:lang w:eastAsia="en-US" w:bidi="ar-SA"/>
              </w:rPr>
              <w:t>Indicateurs</w:t>
            </w:r>
          </w:p>
        </w:tc>
      </w:tr>
      <w:tr w:rsidR="00103CFA" w:rsidRPr="0096390A" w14:paraId="081F1A0D" w14:textId="77777777" w:rsidTr="00B8076C">
        <w:trPr>
          <w:gridAfter w:val="1"/>
          <w:wAfter w:w="10" w:type="dxa"/>
          <w:trHeight w:val="567"/>
        </w:trPr>
        <w:tc>
          <w:tcPr>
            <w:tcW w:w="5102" w:type="dxa"/>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191F3E76" w14:textId="77777777" w:rsidR="00103CFA" w:rsidRPr="0096390A" w:rsidRDefault="00103CFA" w:rsidP="008E7C2E">
            <w:pPr>
              <w:spacing w:line="240" w:lineRule="auto"/>
              <w:ind w:right="113"/>
              <w:contextualSpacing/>
              <w:jc w:val="center"/>
              <w:rPr>
                <w:b/>
                <w:bCs/>
                <w:szCs w:val="20"/>
                <w:lang w:eastAsia="en-US" w:bidi="ar-SA"/>
              </w:rPr>
            </w:pPr>
          </w:p>
        </w:tc>
        <w:tc>
          <w:tcPr>
            <w:tcW w:w="5105" w:type="dxa"/>
            <w:gridSpan w:val="2"/>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5EAC03EA" w14:textId="77777777" w:rsidR="00103CFA" w:rsidRPr="0096390A" w:rsidRDefault="00103CFA" w:rsidP="008E7C2E">
            <w:pPr>
              <w:spacing w:line="240" w:lineRule="auto"/>
              <w:ind w:right="113"/>
              <w:contextualSpacing/>
              <w:jc w:val="center"/>
              <w:rPr>
                <w:b/>
                <w:bCs/>
                <w:szCs w:val="20"/>
                <w:lang w:eastAsia="en-US" w:bidi="ar-SA"/>
              </w:rPr>
            </w:pPr>
          </w:p>
        </w:tc>
      </w:tr>
      <w:tr w:rsidR="00103CFA" w:rsidRPr="0096390A" w14:paraId="135DFE56" w14:textId="77777777" w:rsidTr="000F5438">
        <w:trPr>
          <w:gridAfter w:val="1"/>
          <w:wAfter w:w="10" w:type="dxa"/>
          <w:trHeight w:val="567"/>
        </w:trPr>
        <w:tc>
          <w:tcPr>
            <w:tcW w:w="5102" w:type="dxa"/>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2C3729BC" w14:textId="77777777" w:rsidR="00103CFA" w:rsidRPr="0096390A" w:rsidRDefault="00103CFA" w:rsidP="008E7C2E">
            <w:pPr>
              <w:spacing w:line="240" w:lineRule="auto"/>
              <w:ind w:right="113"/>
              <w:contextualSpacing/>
              <w:jc w:val="center"/>
              <w:rPr>
                <w:b/>
                <w:bCs/>
                <w:szCs w:val="20"/>
                <w:lang w:eastAsia="en-US" w:bidi="ar-SA"/>
              </w:rPr>
            </w:pPr>
          </w:p>
        </w:tc>
        <w:tc>
          <w:tcPr>
            <w:tcW w:w="5105" w:type="dxa"/>
            <w:gridSpan w:val="2"/>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5B48CFF0" w14:textId="77777777" w:rsidR="00103CFA" w:rsidRPr="0096390A" w:rsidRDefault="00103CFA" w:rsidP="008E7C2E">
            <w:pPr>
              <w:spacing w:line="240" w:lineRule="auto"/>
              <w:ind w:right="113"/>
              <w:contextualSpacing/>
              <w:jc w:val="center"/>
              <w:rPr>
                <w:b/>
                <w:bCs/>
                <w:szCs w:val="20"/>
                <w:lang w:eastAsia="en-US" w:bidi="ar-SA"/>
              </w:rPr>
            </w:pPr>
          </w:p>
        </w:tc>
      </w:tr>
      <w:tr w:rsidR="00103CFA" w:rsidRPr="0096390A" w14:paraId="5545F853" w14:textId="77777777" w:rsidTr="002A60D3">
        <w:trPr>
          <w:gridAfter w:val="1"/>
          <w:wAfter w:w="10" w:type="dxa"/>
          <w:trHeight w:val="567"/>
        </w:trPr>
        <w:tc>
          <w:tcPr>
            <w:tcW w:w="5102" w:type="dxa"/>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17F2DC0C" w14:textId="77777777" w:rsidR="00103CFA" w:rsidRPr="0096390A" w:rsidRDefault="00103CFA" w:rsidP="008E7C2E">
            <w:pPr>
              <w:spacing w:line="240" w:lineRule="auto"/>
              <w:ind w:right="113"/>
              <w:contextualSpacing/>
              <w:jc w:val="center"/>
              <w:rPr>
                <w:b/>
                <w:bCs/>
                <w:szCs w:val="20"/>
                <w:lang w:eastAsia="en-US" w:bidi="ar-SA"/>
              </w:rPr>
            </w:pPr>
          </w:p>
        </w:tc>
        <w:tc>
          <w:tcPr>
            <w:tcW w:w="5105" w:type="dxa"/>
            <w:gridSpan w:val="2"/>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5AF071AE" w14:textId="77777777" w:rsidR="00103CFA" w:rsidRPr="0096390A" w:rsidRDefault="00103CFA" w:rsidP="008E7C2E">
            <w:pPr>
              <w:spacing w:line="240" w:lineRule="auto"/>
              <w:ind w:right="113"/>
              <w:contextualSpacing/>
              <w:jc w:val="center"/>
              <w:rPr>
                <w:b/>
                <w:bCs/>
                <w:szCs w:val="20"/>
                <w:lang w:eastAsia="en-US" w:bidi="ar-SA"/>
              </w:rPr>
            </w:pPr>
          </w:p>
        </w:tc>
      </w:tr>
      <w:tr w:rsidR="00103CFA" w:rsidRPr="0096390A" w14:paraId="14C11158" w14:textId="77777777" w:rsidTr="009A61E9">
        <w:trPr>
          <w:gridAfter w:val="1"/>
          <w:wAfter w:w="10" w:type="dxa"/>
          <w:trHeight w:val="567"/>
        </w:trPr>
        <w:tc>
          <w:tcPr>
            <w:tcW w:w="5102" w:type="dxa"/>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7854795E" w14:textId="77777777" w:rsidR="00103CFA" w:rsidRPr="0096390A" w:rsidRDefault="00103CFA" w:rsidP="008E7C2E">
            <w:pPr>
              <w:spacing w:line="240" w:lineRule="auto"/>
              <w:ind w:right="113"/>
              <w:contextualSpacing/>
              <w:jc w:val="center"/>
              <w:rPr>
                <w:b/>
                <w:bCs/>
                <w:szCs w:val="20"/>
                <w:lang w:eastAsia="en-US" w:bidi="ar-SA"/>
              </w:rPr>
            </w:pPr>
          </w:p>
        </w:tc>
        <w:tc>
          <w:tcPr>
            <w:tcW w:w="5105" w:type="dxa"/>
            <w:gridSpan w:val="2"/>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5BC0F698" w14:textId="77777777" w:rsidR="00103CFA" w:rsidRPr="0096390A" w:rsidRDefault="00103CFA" w:rsidP="008E7C2E">
            <w:pPr>
              <w:spacing w:line="240" w:lineRule="auto"/>
              <w:ind w:right="113"/>
              <w:contextualSpacing/>
              <w:jc w:val="center"/>
              <w:rPr>
                <w:b/>
                <w:bCs/>
                <w:szCs w:val="20"/>
                <w:lang w:eastAsia="en-US" w:bidi="ar-SA"/>
              </w:rPr>
            </w:pPr>
          </w:p>
        </w:tc>
      </w:tr>
      <w:tr w:rsidR="00103CFA" w:rsidRPr="0096390A" w14:paraId="174F605F" w14:textId="77777777" w:rsidTr="00DC03A4">
        <w:trPr>
          <w:gridAfter w:val="1"/>
          <w:wAfter w:w="10" w:type="dxa"/>
          <w:trHeight w:val="567"/>
        </w:trPr>
        <w:tc>
          <w:tcPr>
            <w:tcW w:w="5102" w:type="dxa"/>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4DC31491" w14:textId="77777777" w:rsidR="00103CFA" w:rsidRPr="0096390A" w:rsidRDefault="00103CFA" w:rsidP="008E7C2E">
            <w:pPr>
              <w:spacing w:line="240" w:lineRule="auto"/>
              <w:ind w:right="113"/>
              <w:contextualSpacing/>
              <w:jc w:val="center"/>
              <w:rPr>
                <w:b/>
                <w:bCs/>
                <w:szCs w:val="20"/>
                <w:lang w:eastAsia="en-US" w:bidi="ar-SA"/>
              </w:rPr>
            </w:pPr>
          </w:p>
        </w:tc>
        <w:tc>
          <w:tcPr>
            <w:tcW w:w="5105" w:type="dxa"/>
            <w:gridSpan w:val="2"/>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4FF8CFF9" w14:textId="77777777" w:rsidR="00103CFA" w:rsidRPr="0096390A" w:rsidRDefault="00103CFA" w:rsidP="008E7C2E">
            <w:pPr>
              <w:spacing w:line="240" w:lineRule="auto"/>
              <w:ind w:right="113"/>
              <w:contextualSpacing/>
              <w:jc w:val="center"/>
              <w:rPr>
                <w:b/>
                <w:bCs/>
                <w:szCs w:val="20"/>
                <w:lang w:eastAsia="en-US" w:bidi="ar-SA"/>
              </w:rPr>
            </w:pPr>
          </w:p>
        </w:tc>
      </w:tr>
      <w:tr w:rsidR="00224B7D" w:rsidRPr="0096390A" w14:paraId="7C00DF0F" w14:textId="77777777" w:rsidTr="008E7C2E">
        <w:trPr>
          <w:trHeight w:val="850"/>
        </w:trPr>
        <w:tc>
          <w:tcPr>
            <w:tcW w:w="10217" w:type="dxa"/>
            <w:gridSpan w:val="4"/>
            <w:tcBorders>
              <w:top w:val="single" w:sz="18" w:space="0" w:color="002060"/>
              <w:left w:val="single" w:sz="18" w:space="0" w:color="002060"/>
              <w:bottom w:val="single" w:sz="18" w:space="0" w:color="002060"/>
              <w:right w:val="single" w:sz="18" w:space="0" w:color="002060"/>
            </w:tcBorders>
            <w:shd w:val="clear" w:color="auto" w:fill="DFF1F5"/>
            <w:vAlign w:val="center"/>
          </w:tcPr>
          <w:p w14:paraId="5B30D8FA" w14:textId="77777777" w:rsidR="00224B7D" w:rsidRPr="0096390A" w:rsidRDefault="00224B7D" w:rsidP="008E7C2E">
            <w:pPr>
              <w:spacing w:line="240" w:lineRule="auto"/>
              <w:ind w:right="113"/>
              <w:contextualSpacing/>
              <w:jc w:val="center"/>
              <w:rPr>
                <w:b/>
                <w:bCs/>
                <w:szCs w:val="20"/>
                <w:lang w:eastAsia="en-US" w:bidi="ar-SA"/>
              </w:rPr>
            </w:pPr>
            <w:r w:rsidRPr="0096390A">
              <w:rPr>
                <w:b/>
                <w:bCs/>
                <w:noProof/>
                <w:szCs w:val="20"/>
                <w:lang w:eastAsia="en-US" w:bidi="ar-SA"/>
              </w:rPr>
              <w:t xml:space="preserve">AXE 2 – Mode de vie et comportements promus ou évoqués dans les communications commerciales </w:t>
            </w:r>
          </w:p>
        </w:tc>
      </w:tr>
      <w:tr w:rsidR="00103CFA" w:rsidRPr="0096390A" w14:paraId="0864BB67" w14:textId="77777777" w:rsidTr="00E315C5">
        <w:trPr>
          <w:gridAfter w:val="1"/>
          <w:wAfter w:w="10" w:type="dxa"/>
          <w:trHeight w:val="567"/>
        </w:trPr>
        <w:tc>
          <w:tcPr>
            <w:tcW w:w="10207" w:type="dxa"/>
            <w:gridSpan w:val="3"/>
            <w:tcBorders>
              <w:top w:val="single" w:sz="18" w:space="0" w:color="auto"/>
              <w:left w:val="single" w:sz="18" w:space="0" w:color="002060"/>
              <w:bottom w:val="single" w:sz="18" w:space="0" w:color="002060"/>
              <w:right w:val="single" w:sz="18" w:space="0" w:color="002060"/>
            </w:tcBorders>
            <w:shd w:val="clear" w:color="auto" w:fill="BFBFBF" w:themeFill="background1" w:themeFillShade="BF"/>
            <w:vAlign w:val="center"/>
          </w:tcPr>
          <w:p w14:paraId="487A4666" w14:textId="77777777" w:rsidR="00103CFA" w:rsidRPr="0096390A" w:rsidRDefault="00103CFA" w:rsidP="008E7C2E">
            <w:pPr>
              <w:spacing w:line="240" w:lineRule="auto"/>
              <w:ind w:right="113"/>
              <w:contextualSpacing/>
              <w:jc w:val="center"/>
              <w:rPr>
                <w:b/>
                <w:bCs/>
                <w:szCs w:val="20"/>
                <w:lang w:eastAsia="en-US" w:bidi="ar-SA"/>
              </w:rPr>
            </w:pPr>
            <w:r w:rsidRPr="0096390A">
              <w:rPr>
                <w:b/>
                <w:bCs/>
                <w:szCs w:val="20"/>
                <w:lang w:eastAsia="en-US" w:bidi="ar-SA"/>
              </w:rPr>
              <w:t>A l’échelle de la branche sectorielle / fédération / association / etc.</w:t>
            </w:r>
          </w:p>
          <w:p w14:paraId="15EB8BF4" w14:textId="77777777" w:rsidR="00103CFA" w:rsidRPr="0096390A" w:rsidRDefault="00103CFA" w:rsidP="008E7C2E">
            <w:pPr>
              <w:spacing w:line="240" w:lineRule="auto"/>
              <w:ind w:right="113"/>
              <w:contextualSpacing/>
              <w:jc w:val="center"/>
              <w:rPr>
                <w:b/>
                <w:bCs/>
                <w:szCs w:val="20"/>
                <w:lang w:eastAsia="en-US" w:bidi="ar-SA"/>
              </w:rPr>
            </w:pPr>
            <w:r w:rsidRPr="0096390A">
              <w:rPr>
                <w:b/>
                <w:bCs/>
                <w:szCs w:val="20"/>
                <w:lang w:eastAsia="en-US" w:bidi="ar-SA"/>
              </w:rPr>
              <w:t xml:space="preserve">A l’échelle de l’entreprise </w:t>
            </w:r>
          </w:p>
        </w:tc>
      </w:tr>
      <w:tr w:rsidR="00103CFA" w:rsidRPr="0096390A" w14:paraId="3D2DB46A" w14:textId="77777777" w:rsidTr="007051AE">
        <w:trPr>
          <w:gridAfter w:val="1"/>
          <w:wAfter w:w="10" w:type="dxa"/>
          <w:trHeight w:val="567"/>
        </w:trPr>
        <w:tc>
          <w:tcPr>
            <w:tcW w:w="5102" w:type="dxa"/>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1B7614E5" w14:textId="77777777" w:rsidR="00103CFA" w:rsidRPr="0096390A" w:rsidRDefault="00103CFA" w:rsidP="008E7C2E">
            <w:pPr>
              <w:spacing w:line="240" w:lineRule="auto"/>
              <w:ind w:right="113"/>
              <w:contextualSpacing/>
              <w:jc w:val="center"/>
              <w:rPr>
                <w:b/>
                <w:bCs/>
                <w:szCs w:val="20"/>
                <w:u w:val="single"/>
                <w:lang w:eastAsia="en-US" w:bidi="ar-SA"/>
              </w:rPr>
            </w:pPr>
          </w:p>
          <w:p w14:paraId="1C0C4AB1" w14:textId="77777777" w:rsidR="00103CFA" w:rsidRPr="0096390A" w:rsidRDefault="00103CFA" w:rsidP="008E7C2E">
            <w:pPr>
              <w:spacing w:line="240" w:lineRule="auto"/>
              <w:ind w:right="113"/>
              <w:contextualSpacing/>
              <w:jc w:val="center"/>
              <w:rPr>
                <w:szCs w:val="20"/>
                <w:u w:val="single"/>
                <w:lang w:eastAsia="en-US" w:bidi="ar-SA"/>
              </w:rPr>
            </w:pPr>
            <w:r w:rsidRPr="0096390A">
              <w:rPr>
                <w:b/>
                <w:bCs/>
                <w:szCs w:val="20"/>
                <w:u w:val="single"/>
                <w:lang w:eastAsia="en-US" w:bidi="ar-SA"/>
              </w:rPr>
              <w:t>Engagements</w:t>
            </w:r>
          </w:p>
          <w:p w14:paraId="1E9A364E" w14:textId="77777777" w:rsidR="00103CFA" w:rsidRPr="0096390A" w:rsidRDefault="00103CFA" w:rsidP="008E7C2E">
            <w:pPr>
              <w:spacing w:line="240" w:lineRule="auto"/>
              <w:ind w:right="113"/>
              <w:contextualSpacing/>
              <w:jc w:val="center"/>
              <w:rPr>
                <w:szCs w:val="20"/>
                <w:u w:val="single"/>
                <w:lang w:eastAsia="en-US" w:bidi="ar-SA"/>
              </w:rPr>
            </w:pPr>
          </w:p>
        </w:tc>
        <w:tc>
          <w:tcPr>
            <w:tcW w:w="5105" w:type="dxa"/>
            <w:gridSpan w:val="2"/>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1D220530" w14:textId="77777777" w:rsidR="00103CFA" w:rsidRPr="0096390A" w:rsidRDefault="00103CFA" w:rsidP="008E7C2E">
            <w:pPr>
              <w:spacing w:line="240" w:lineRule="auto"/>
              <w:ind w:right="113"/>
              <w:contextualSpacing/>
              <w:jc w:val="center"/>
              <w:rPr>
                <w:b/>
                <w:bCs/>
                <w:szCs w:val="20"/>
                <w:u w:val="single"/>
                <w:lang w:eastAsia="en-US" w:bidi="ar-SA"/>
              </w:rPr>
            </w:pPr>
            <w:r w:rsidRPr="0096390A">
              <w:rPr>
                <w:b/>
                <w:bCs/>
                <w:szCs w:val="20"/>
                <w:u w:val="single"/>
                <w:lang w:eastAsia="en-US" w:bidi="ar-SA"/>
              </w:rPr>
              <w:t>Indicateurs</w:t>
            </w:r>
          </w:p>
        </w:tc>
      </w:tr>
      <w:tr w:rsidR="00103CFA" w:rsidRPr="0096390A" w14:paraId="6418551D" w14:textId="77777777" w:rsidTr="007639AB">
        <w:trPr>
          <w:gridAfter w:val="1"/>
          <w:wAfter w:w="10" w:type="dxa"/>
          <w:trHeight w:val="567"/>
        </w:trPr>
        <w:tc>
          <w:tcPr>
            <w:tcW w:w="5102" w:type="dxa"/>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1D6F2645" w14:textId="77777777" w:rsidR="00103CFA" w:rsidRPr="0096390A" w:rsidRDefault="00103CFA" w:rsidP="008E7C2E">
            <w:pPr>
              <w:spacing w:line="240" w:lineRule="auto"/>
              <w:ind w:right="113"/>
              <w:contextualSpacing/>
              <w:jc w:val="center"/>
              <w:rPr>
                <w:b/>
                <w:bCs/>
                <w:szCs w:val="20"/>
                <w:lang w:eastAsia="en-US" w:bidi="ar-SA"/>
              </w:rPr>
            </w:pPr>
          </w:p>
        </w:tc>
        <w:tc>
          <w:tcPr>
            <w:tcW w:w="5105" w:type="dxa"/>
            <w:gridSpan w:val="2"/>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4C1BDDC9" w14:textId="77777777" w:rsidR="00103CFA" w:rsidRPr="0096390A" w:rsidRDefault="00103CFA" w:rsidP="008E7C2E">
            <w:pPr>
              <w:spacing w:line="240" w:lineRule="auto"/>
              <w:ind w:right="113"/>
              <w:contextualSpacing/>
              <w:jc w:val="center"/>
              <w:rPr>
                <w:b/>
                <w:bCs/>
                <w:szCs w:val="20"/>
                <w:lang w:eastAsia="en-US" w:bidi="ar-SA"/>
              </w:rPr>
            </w:pPr>
          </w:p>
        </w:tc>
      </w:tr>
      <w:tr w:rsidR="00103CFA" w:rsidRPr="0096390A" w14:paraId="260AE903" w14:textId="77777777" w:rsidTr="00EE7F27">
        <w:trPr>
          <w:gridAfter w:val="1"/>
          <w:wAfter w:w="10" w:type="dxa"/>
          <w:trHeight w:val="567"/>
        </w:trPr>
        <w:tc>
          <w:tcPr>
            <w:tcW w:w="5102" w:type="dxa"/>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1486255C" w14:textId="77777777" w:rsidR="00103CFA" w:rsidRPr="0096390A" w:rsidRDefault="00103CFA" w:rsidP="008E7C2E">
            <w:pPr>
              <w:spacing w:line="240" w:lineRule="auto"/>
              <w:ind w:right="113"/>
              <w:contextualSpacing/>
              <w:jc w:val="center"/>
              <w:rPr>
                <w:b/>
                <w:bCs/>
                <w:szCs w:val="20"/>
                <w:lang w:eastAsia="en-US" w:bidi="ar-SA"/>
              </w:rPr>
            </w:pPr>
          </w:p>
        </w:tc>
        <w:tc>
          <w:tcPr>
            <w:tcW w:w="5105" w:type="dxa"/>
            <w:gridSpan w:val="2"/>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7953FC81" w14:textId="77777777" w:rsidR="00103CFA" w:rsidRPr="0096390A" w:rsidRDefault="00103CFA" w:rsidP="008E7C2E">
            <w:pPr>
              <w:spacing w:line="240" w:lineRule="auto"/>
              <w:ind w:right="113"/>
              <w:contextualSpacing/>
              <w:jc w:val="center"/>
              <w:rPr>
                <w:b/>
                <w:bCs/>
                <w:szCs w:val="20"/>
                <w:lang w:eastAsia="en-US" w:bidi="ar-SA"/>
              </w:rPr>
            </w:pPr>
          </w:p>
        </w:tc>
      </w:tr>
      <w:tr w:rsidR="00103CFA" w:rsidRPr="0096390A" w14:paraId="2D1B8851" w14:textId="77777777" w:rsidTr="00AD6B64">
        <w:trPr>
          <w:gridAfter w:val="1"/>
          <w:wAfter w:w="10" w:type="dxa"/>
          <w:trHeight w:val="567"/>
        </w:trPr>
        <w:tc>
          <w:tcPr>
            <w:tcW w:w="5102" w:type="dxa"/>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0B99CD38" w14:textId="77777777" w:rsidR="00103CFA" w:rsidRPr="0096390A" w:rsidRDefault="00103CFA" w:rsidP="008E7C2E">
            <w:pPr>
              <w:spacing w:line="240" w:lineRule="auto"/>
              <w:ind w:right="113"/>
              <w:contextualSpacing/>
              <w:jc w:val="center"/>
              <w:rPr>
                <w:b/>
                <w:bCs/>
                <w:szCs w:val="20"/>
                <w:lang w:eastAsia="en-US" w:bidi="ar-SA"/>
              </w:rPr>
            </w:pPr>
          </w:p>
        </w:tc>
        <w:tc>
          <w:tcPr>
            <w:tcW w:w="5105" w:type="dxa"/>
            <w:gridSpan w:val="2"/>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26628881" w14:textId="77777777" w:rsidR="00103CFA" w:rsidRPr="0096390A" w:rsidRDefault="00103CFA" w:rsidP="008E7C2E">
            <w:pPr>
              <w:spacing w:line="240" w:lineRule="auto"/>
              <w:ind w:right="113"/>
              <w:contextualSpacing/>
              <w:jc w:val="center"/>
              <w:rPr>
                <w:b/>
                <w:bCs/>
                <w:szCs w:val="20"/>
                <w:lang w:eastAsia="en-US" w:bidi="ar-SA"/>
              </w:rPr>
            </w:pPr>
          </w:p>
        </w:tc>
      </w:tr>
      <w:tr w:rsidR="00103CFA" w:rsidRPr="0096390A" w14:paraId="7293A62F" w14:textId="77777777" w:rsidTr="00984412">
        <w:trPr>
          <w:gridAfter w:val="1"/>
          <w:wAfter w:w="10" w:type="dxa"/>
          <w:trHeight w:val="567"/>
        </w:trPr>
        <w:tc>
          <w:tcPr>
            <w:tcW w:w="5102" w:type="dxa"/>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144961E5" w14:textId="77777777" w:rsidR="00103CFA" w:rsidRPr="0096390A" w:rsidRDefault="00103CFA" w:rsidP="008E7C2E">
            <w:pPr>
              <w:spacing w:line="240" w:lineRule="auto"/>
              <w:ind w:right="113"/>
              <w:contextualSpacing/>
              <w:jc w:val="center"/>
              <w:rPr>
                <w:b/>
                <w:bCs/>
                <w:szCs w:val="20"/>
                <w:lang w:eastAsia="en-US" w:bidi="ar-SA"/>
              </w:rPr>
            </w:pPr>
          </w:p>
        </w:tc>
        <w:tc>
          <w:tcPr>
            <w:tcW w:w="5105" w:type="dxa"/>
            <w:gridSpan w:val="2"/>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5E3D5931" w14:textId="77777777" w:rsidR="00103CFA" w:rsidRPr="0096390A" w:rsidRDefault="00103CFA" w:rsidP="008E7C2E">
            <w:pPr>
              <w:spacing w:line="240" w:lineRule="auto"/>
              <w:ind w:right="113"/>
              <w:contextualSpacing/>
              <w:jc w:val="center"/>
              <w:rPr>
                <w:b/>
                <w:bCs/>
                <w:szCs w:val="20"/>
                <w:lang w:eastAsia="en-US" w:bidi="ar-SA"/>
              </w:rPr>
            </w:pPr>
          </w:p>
        </w:tc>
      </w:tr>
      <w:tr w:rsidR="00103CFA" w:rsidRPr="0096390A" w14:paraId="69EDC209" w14:textId="77777777" w:rsidTr="00946EE1">
        <w:trPr>
          <w:gridAfter w:val="1"/>
          <w:wAfter w:w="10" w:type="dxa"/>
          <w:trHeight w:val="567"/>
        </w:trPr>
        <w:tc>
          <w:tcPr>
            <w:tcW w:w="5102" w:type="dxa"/>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255B3CCE" w14:textId="77777777" w:rsidR="00103CFA" w:rsidRPr="0096390A" w:rsidRDefault="00103CFA" w:rsidP="008E7C2E">
            <w:pPr>
              <w:spacing w:line="240" w:lineRule="auto"/>
              <w:ind w:right="113"/>
              <w:contextualSpacing/>
              <w:jc w:val="center"/>
              <w:rPr>
                <w:b/>
                <w:bCs/>
                <w:szCs w:val="20"/>
                <w:lang w:eastAsia="en-US" w:bidi="ar-SA"/>
              </w:rPr>
            </w:pPr>
          </w:p>
        </w:tc>
        <w:tc>
          <w:tcPr>
            <w:tcW w:w="5105" w:type="dxa"/>
            <w:gridSpan w:val="2"/>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38387BAF" w14:textId="77777777" w:rsidR="00103CFA" w:rsidRPr="0096390A" w:rsidRDefault="00103CFA" w:rsidP="008E7C2E">
            <w:pPr>
              <w:spacing w:line="240" w:lineRule="auto"/>
              <w:ind w:right="113"/>
              <w:contextualSpacing/>
              <w:jc w:val="center"/>
              <w:rPr>
                <w:b/>
                <w:bCs/>
                <w:szCs w:val="20"/>
                <w:lang w:eastAsia="en-US" w:bidi="ar-SA"/>
              </w:rPr>
            </w:pPr>
          </w:p>
        </w:tc>
      </w:tr>
      <w:tr w:rsidR="00224B7D" w:rsidRPr="0096390A" w14:paraId="01C062A7" w14:textId="77777777" w:rsidTr="008E7C2E">
        <w:trPr>
          <w:trHeight w:val="850"/>
        </w:trPr>
        <w:tc>
          <w:tcPr>
            <w:tcW w:w="10217" w:type="dxa"/>
            <w:gridSpan w:val="4"/>
            <w:tcBorders>
              <w:top w:val="single" w:sz="18" w:space="0" w:color="002060"/>
              <w:left w:val="single" w:sz="18" w:space="0" w:color="002060"/>
              <w:bottom w:val="single" w:sz="18" w:space="0" w:color="002060"/>
              <w:right w:val="single" w:sz="18" w:space="0" w:color="002060"/>
            </w:tcBorders>
            <w:shd w:val="clear" w:color="auto" w:fill="DFF1F5"/>
            <w:vAlign w:val="center"/>
          </w:tcPr>
          <w:p w14:paraId="6139CED3" w14:textId="77777777" w:rsidR="00224B7D" w:rsidRPr="0096390A" w:rsidRDefault="00224B7D" w:rsidP="008E7C2E">
            <w:pPr>
              <w:spacing w:line="240" w:lineRule="auto"/>
              <w:ind w:right="113"/>
              <w:contextualSpacing/>
              <w:jc w:val="center"/>
              <w:rPr>
                <w:b/>
                <w:bCs/>
                <w:szCs w:val="20"/>
                <w:lang w:eastAsia="en-US" w:bidi="ar-SA"/>
              </w:rPr>
            </w:pPr>
            <w:r w:rsidRPr="0096390A">
              <w:rPr>
                <w:b/>
                <w:bCs/>
                <w:noProof/>
                <w:szCs w:val="20"/>
                <w:lang w:eastAsia="en-US" w:bidi="ar-SA"/>
              </w:rPr>
              <w:t xml:space="preserve">AXE 3 – </w:t>
            </w:r>
            <w:r w:rsidRPr="0096390A">
              <w:rPr>
                <w:b/>
                <w:bCs/>
                <w:szCs w:val="20"/>
                <w:lang w:eastAsia="en-US" w:bidi="ar-SA"/>
              </w:rPr>
              <w:t>Modes de production des communications commerciales</w:t>
            </w:r>
          </w:p>
        </w:tc>
      </w:tr>
      <w:tr w:rsidR="00103CFA" w:rsidRPr="0096390A" w14:paraId="2D4B919C" w14:textId="77777777" w:rsidTr="00C279C0">
        <w:trPr>
          <w:gridAfter w:val="1"/>
          <w:wAfter w:w="10" w:type="dxa"/>
          <w:trHeight w:val="567"/>
        </w:trPr>
        <w:tc>
          <w:tcPr>
            <w:tcW w:w="10207" w:type="dxa"/>
            <w:gridSpan w:val="3"/>
            <w:tcBorders>
              <w:top w:val="single" w:sz="18" w:space="0" w:color="auto"/>
              <w:left w:val="single" w:sz="18" w:space="0" w:color="002060"/>
              <w:bottom w:val="single" w:sz="18" w:space="0" w:color="002060"/>
              <w:right w:val="single" w:sz="18" w:space="0" w:color="002060"/>
            </w:tcBorders>
            <w:shd w:val="clear" w:color="auto" w:fill="BFBFBF" w:themeFill="background1" w:themeFillShade="BF"/>
            <w:vAlign w:val="center"/>
          </w:tcPr>
          <w:p w14:paraId="4C9546A8" w14:textId="77777777" w:rsidR="00103CFA" w:rsidRPr="0096390A" w:rsidRDefault="00103CFA" w:rsidP="008E7C2E">
            <w:pPr>
              <w:spacing w:line="240" w:lineRule="auto"/>
              <w:ind w:right="113"/>
              <w:contextualSpacing/>
              <w:jc w:val="center"/>
              <w:rPr>
                <w:b/>
                <w:bCs/>
                <w:szCs w:val="20"/>
                <w:lang w:eastAsia="en-US" w:bidi="ar-SA"/>
              </w:rPr>
            </w:pPr>
            <w:r w:rsidRPr="0096390A">
              <w:rPr>
                <w:b/>
                <w:bCs/>
                <w:szCs w:val="20"/>
                <w:lang w:eastAsia="en-US" w:bidi="ar-SA"/>
              </w:rPr>
              <w:t>A l’échelle de la branche sectorielle / fédération / association / etc.</w:t>
            </w:r>
          </w:p>
          <w:p w14:paraId="15C47866" w14:textId="77777777" w:rsidR="00103CFA" w:rsidRPr="0096390A" w:rsidRDefault="00103CFA" w:rsidP="008E7C2E">
            <w:pPr>
              <w:spacing w:line="240" w:lineRule="auto"/>
              <w:ind w:right="113"/>
              <w:contextualSpacing/>
              <w:jc w:val="center"/>
              <w:rPr>
                <w:b/>
                <w:bCs/>
                <w:szCs w:val="20"/>
                <w:lang w:eastAsia="en-US" w:bidi="ar-SA"/>
              </w:rPr>
            </w:pPr>
            <w:r w:rsidRPr="0096390A">
              <w:rPr>
                <w:b/>
                <w:bCs/>
                <w:szCs w:val="20"/>
                <w:lang w:eastAsia="en-US" w:bidi="ar-SA"/>
              </w:rPr>
              <w:t xml:space="preserve">A l’échelle de l’entreprise </w:t>
            </w:r>
          </w:p>
        </w:tc>
      </w:tr>
      <w:tr w:rsidR="00103CFA" w:rsidRPr="0096390A" w14:paraId="4244258F" w14:textId="77777777" w:rsidTr="004A7F1A">
        <w:trPr>
          <w:gridAfter w:val="1"/>
          <w:wAfter w:w="10" w:type="dxa"/>
          <w:trHeight w:val="567"/>
        </w:trPr>
        <w:tc>
          <w:tcPr>
            <w:tcW w:w="5102" w:type="dxa"/>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471DDC1F" w14:textId="77777777" w:rsidR="00103CFA" w:rsidRPr="0096390A" w:rsidRDefault="00103CFA" w:rsidP="008E7C2E">
            <w:pPr>
              <w:spacing w:line="240" w:lineRule="auto"/>
              <w:ind w:right="113"/>
              <w:contextualSpacing/>
              <w:jc w:val="center"/>
              <w:rPr>
                <w:b/>
                <w:bCs/>
                <w:szCs w:val="20"/>
                <w:u w:val="single"/>
                <w:lang w:eastAsia="en-US" w:bidi="ar-SA"/>
              </w:rPr>
            </w:pPr>
          </w:p>
          <w:p w14:paraId="5F9271EB" w14:textId="77777777" w:rsidR="00103CFA" w:rsidRPr="0096390A" w:rsidRDefault="00103CFA" w:rsidP="008E7C2E">
            <w:pPr>
              <w:spacing w:line="240" w:lineRule="auto"/>
              <w:ind w:right="113"/>
              <w:contextualSpacing/>
              <w:jc w:val="center"/>
              <w:rPr>
                <w:szCs w:val="20"/>
                <w:u w:val="single"/>
                <w:lang w:eastAsia="en-US" w:bidi="ar-SA"/>
              </w:rPr>
            </w:pPr>
            <w:r w:rsidRPr="0096390A">
              <w:rPr>
                <w:b/>
                <w:bCs/>
                <w:szCs w:val="20"/>
                <w:u w:val="single"/>
                <w:lang w:eastAsia="en-US" w:bidi="ar-SA"/>
              </w:rPr>
              <w:t>Engagements</w:t>
            </w:r>
          </w:p>
          <w:p w14:paraId="10292A5A" w14:textId="77777777" w:rsidR="00103CFA" w:rsidRPr="0096390A" w:rsidRDefault="00103CFA" w:rsidP="008E7C2E">
            <w:pPr>
              <w:spacing w:line="240" w:lineRule="auto"/>
              <w:ind w:right="113"/>
              <w:contextualSpacing/>
              <w:jc w:val="center"/>
              <w:rPr>
                <w:szCs w:val="20"/>
                <w:u w:val="single"/>
                <w:lang w:eastAsia="en-US" w:bidi="ar-SA"/>
              </w:rPr>
            </w:pPr>
          </w:p>
        </w:tc>
        <w:tc>
          <w:tcPr>
            <w:tcW w:w="5105" w:type="dxa"/>
            <w:gridSpan w:val="2"/>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164A7A57" w14:textId="77777777" w:rsidR="00103CFA" w:rsidRPr="0096390A" w:rsidRDefault="00103CFA" w:rsidP="008E7C2E">
            <w:pPr>
              <w:spacing w:line="240" w:lineRule="auto"/>
              <w:ind w:right="113"/>
              <w:contextualSpacing/>
              <w:jc w:val="center"/>
              <w:rPr>
                <w:b/>
                <w:bCs/>
                <w:szCs w:val="20"/>
                <w:u w:val="single"/>
                <w:lang w:eastAsia="en-US" w:bidi="ar-SA"/>
              </w:rPr>
            </w:pPr>
            <w:r w:rsidRPr="0096390A">
              <w:rPr>
                <w:b/>
                <w:bCs/>
                <w:szCs w:val="20"/>
                <w:u w:val="single"/>
                <w:lang w:eastAsia="en-US" w:bidi="ar-SA"/>
              </w:rPr>
              <w:t>Indicateurs</w:t>
            </w:r>
          </w:p>
        </w:tc>
      </w:tr>
      <w:tr w:rsidR="00103CFA" w:rsidRPr="0096390A" w14:paraId="1506EBD8" w14:textId="77777777" w:rsidTr="009D51E7">
        <w:trPr>
          <w:gridAfter w:val="1"/>
          <w:wAfter w:w="10" w:type="dxa"/>
          <w:trHeight w:val="567"/>
        </w:trPr>
        <w:tc>
          <w:tcPr>
            <w:tcW w:w="5102" w:type="dxa"/>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4B61C381" w14:textId="77777777" w:rsidR="00103CFA" w:rsidRPr="0096390A" w:rsidRDefault="00103CFA" w:rsidP="008E7C2E">
            <w:pPr>
              <w:spacing w:line="240" w:lineRule="auto"/>
              <w:ind w:right="113"/>
              <w:contextualSpacing/>
              <w:jc w:val="center"/>
              <w:rPr>
                <w:b/>
                <w:bCs/>
                <w:szCs w:val="20"/>
                <w:lang w:eastAsia="en-US" w:bidi="ar-SA"/>
              </w:rPr>
            </w:pPr>
          </w:p>
        </w:tc>
        <w:tc>
          <w:tcPr>
            <w:tcW w:w="5105" w:type="dxa"/>
            <w:gridSpan w:val="2"/>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0095FC91" w14:textId="77777777" w:rsidR="00103CFA" w:rsidRPr="0096390A" w:rsidRDefault="00103CFA" w:rsidP="008E7C2E">
            <w:pPr>
              <w:spacing w:line="240" w:lineRule="auto"/>
              <w:ind w:right="113"/>
              <w:contextualSpacing/>
              <w:jc w:val="center"/>
              <w:rPr>
                <w:b/>
                <w:bCs/>
                <w:szCs w:val="20"/>
                <w:lang w:eastAsia="en-US" w:bidi="ar-SA"/>
              </w:rPr>
            </w:pPr>
          </w:p>
        </w:tc>
      </w:tr>
      <w:tr w:rsidR="00103CFA" w:rsidRPr="0096390A" w14:paraId="40ACFBBF" w14:textId="77777777" w:rsidTr="00CF2AEF">
        <w:trPr>
          <w:gridAfter w:val="1"/>
          <w:wAfter w:w="10" w:type="dxa"/>
          <w:trHeight w:val="567"/>
        </w:trPr>
        <w:tc>
          <w:tcPr>
            <w:tcW w:w="5102" w:type="dxa"/>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4592748B" w14:textId="77777777" w:rsidR="00103CFA" w:rsidRPr="0096390A" w:rsidRDefault="00103CFA" w:rsidP="008E7C2E">
            <w:pPr>
              <w:spacing w:line="240" w:lineRule="auto"/>
              <w:ind w:right="113"/>
              <w:contextualSpacing/>
              <w:jc w:val="center"/>
              <w:rPr>
                <w:b/>
                <w:bCs/>
                <w:szCs w:val="20"/>
                <w:lang w:eastAsia="en-US" w:bidi="ar-SA"/>
              </w:rPr>
            </w:pPr>
          </w:p>
        </w:tc>
        <w:tc>
          <w:tcPr>
            <w:tcW w:w="5105" w:type="dxa"/>
            <w:gridSpan w:val="2"/>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1E8DCAE2" w14:textId="77777777" w:rsidR="00103CFA" w:rsidRPr="0096390A" w:rsidRDefault="00103CFA" w:rsidP="008E7C2E">
            <w:pPr>
              <w:spacing w:line="240" w:lineRule="auto"/>
              <w:ind w:right="113"/>
              <w:contextualSpacing/>
              <w:jc w:val="center"/>
              <w:rPr>
                <w:b/>
                <w:bCs/>
                <w:szCs w:val="20"/>
                <w:lang w:eastAsia="en-US" w:bidi="ar-SA"/>
              </w:rPr>
            </w:pPr>
          </w:p>
        </w:tc>
      </w:tr>
      <w:tr w:rsidR="00103CFA" w:rsidRPr="0096390A" w14:paraId="5253C397" w14:textId="77777777" w:rsidTr="00080932">
        <w:trPr>
          <w:gridAfter w:val="1"/>
          <w:wAfter w:w="10" w:type="dxa"/>
          <w:trHeight w:val="567"/>
        </w:trPr>
        <w:tc>
          <w:tcPr>
            <w:tcW w:w="5102" w:type="dxa"/>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47429857" w14:textId="77777777" w:rsidR="00103CFA" w:rsidRPr="0096390A" w:rsidRDefault="00103CFA" w:rsidP="008E7C2E">
            <w:pPr>
              <w:spacing w:line="240" w:lineRule="auto"/>
              <w:ind w:right="113"/>
              <w:contextualSpacing/>
              <w:jc w:val="center"/>
              <w:rPr>
                <w:b/>
                <w:bCs/>
                <w:szCs w:val="20"/>
                <w:lang w:eastAsia="en-US" w:bidi="ar-SA"/>
              </w:rPr>
            </w:pPr>
          </w:p>
        </w:tc>
        <w:tc>
          <w:tcPr>
            <w:tcW w:w="5105" w:type="dxa"/>
            <w:gridSpan w:val="2"/>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60DB2628" w14:textId="77777777" w:rsidR="00103CFA" w:rsidRPr="0096390A" w:rsidRDefault="00103CFA" w:rsidP="008E7C2E">
            <w:pPr>
              <w:spacing w:line="240" w:lineRule="auto"/>
              <w:ind w:right="113"/>
              <w:contextualSpacing/>
              <w:jc w:val="center"/>
              <w:rPr>
                <w:b/>
                <w:bCs/>
                <w:szCs w:val="20"/>
                <w:lang w:eastAsia="en-US" w:bidi="ar-SA"/>
              </w:rPr>
            </w:pPr>
          </w:p>
        </w:tc>
      </w:tr>
      <w:tr w:rsidR="00103CFA" w:rsidRPr="0096390A" w14:paraId="6658E29C" w14:textId="77777777" w:rsidTr="00DE3C7E">
        <w:trPr>
          <w:gridAfter w:val="1"/>
          <w:wAfter w:w="10" w:type="dxa"/>
          <w:trHeight w:val="567"/>
        </w:trPr>
        <w:tc>
          <w:tcPr>
            <w:tcW w:w="5102" w:type="dxa"/>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728369BE" w14:textId="77777777" w:rsidR="00103CFA" w:rsidRPr="0096390A" w:rsidRDefault="00103CFA" w:rsidP="008E7C2E">
            <w:pPr>
              <w:spacing w:line="240" w:lineRule="auto"/>
              <w:ind w:right="113"/>
              <w:contextualSpacing/>
              <w:jc w:val="center"/>
              <w:rPr>
                <w:b/>
                <w:bCs/>
                <w:szCs w:val="20"/>
                <w:lang w:eastAsia="en-US" w:bidi="ar-SA"/>
              </w:rPr>
            </w:pPr>
          </w:p>
        </w:tc>
        <w:tc>
          <w:tcPr>
            <w:tcW w:w="5105" w:type="dxa"/>
            <w:gridSpan w:val="2"/>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367CA1D3" w14:textId="77777777" w:rsidR="00103CFA" w:rsidRPr="0096390A" w:rsidRDefault="00103CFA" w:rsidP="008E7C2E">
            <w:pPr>
              <w:spacing w:line="240" w:lineRule="auto"/>
              <w:ind w:right="113"/>
              <w:contextualSpacing/>
              <w:jc w:val="center"/>
              <w:rPr>
                <w:b/>
                <w:bCs/>
                <w:szCs w:val="20"/>
                <w:lang w:eastAsia="en-US" w:bidi="ar-SA"/>
              </w:rPr>
            </w:pPr>
          </w:p>
        </w:tc>
      </w:tr>
      <w:tr w:rsidR="00224B7D" w:rsidRPr="0096390A" w14:paraId="709D165B" w14:textId="77777777" w:rsidTr="008E7C2E">
        <w:trPr>
          <w:trHeight w:val="850"/>
        </w:trPr>
        <w:tc>
          <w:tcPr>
            <w:tcW w:w="10217" w:type="dxa"/>
            <w:gridSpan w:val="4"/>
            <w:tcBorders>
              <w:top w:val="single" w:sz="18" w:space="0" w:color="002060"/>
              <w:left w:val="single" w:sz="18" w:space="0" w:color="002060"/>
              <w:bottom w:val="single" w:sz="18" w:space="0" w:color="002060"/>
              <w:right w:val="single" w:sz="18" w:space="0" w:color="002060"/>
            </w:tcBorders>
            <w:shd w:val="clear" w:color="auto" w:fill="DFF1F5"/>
            <w:vAlign w:val="center"/>
          </w:tcPr>
          <w:p w14:paraId="7AFA5508" w14:textId="77777777" w:rsidR="00224B7D" w:rsidRPr="0096390A" w:rsidRDefault="00224B7D" w:rsidP="008E7C2E">
            <w:pPr>
              <w:spacing w:line="240" w:lineRule="auto"/>
              <w:ind w:right="113"/>
              <w:contextualSpacing/>
              <w:jc w:val="center"/>
              <w:rPr>
                <w:b/>
                <w:bCs/>
                <w:szCs w:val="20"/>
                <w:lang w:eastAsia="en-US" w:bidi="ar-SA"/>
              </w:rPr>
            </w:pPr>
            <w:r w:rsidRPr="0096390A">
              <w:rPr>
                <w:b/>
                <w:bCs/>
                <w:noProof/>
                <w:szCs w:val="20"/>
                <w:lang w:eastAsia="en-US" w:bidi="ar-SA"/>
              </w:rPr>
              <w:t>AXE 4 – Sensibilisation</w:t>
            </w:r>
            <w:r w:rsidRPr="0096390A">
              <w:rPr>
                <w:b/>
                <w:bCs/>
                <w:szCs w:val="20"/>
                <w:lang w:eastAsia="en-US" w:bidi="ar-SA"/>
              </w:rPr>
              <w:t xml:space="preserve"> et formation des collaborateurs aux enjeux de la transition écologique dans les communications commerciales et aux bonnes pratiques associées</w:t>
            </w:r>
          </w:p>
        </w:tc>
      </w:tr>
      <w:tr w:rsidR="00103CFA" w:rsidRPr="0096390A" w14:paraId="75432FFD" w14:textId="77777777" w:rsidTr="00027CCA">
        <w:trPr>
          <w:gridAfter w:val="1"/>
          <w:wAfter w:w="10" w:type="dxa"/>
          <w:trHeight w:val="567"/>
        </w:trPr>
        <w:tc>
          <w:tcPr>
            <w:tcW w:w="10207" w:type="dxa"/>
            <w:gridSpan w:val="3"/>
            <w:tcBorders>
              <w:top w:val="single" w:sz="18" w:space="0" w:color="auto"/>
              <w:left w:val="single" w:sz="18" w:space="0" w:color="002060"/>
              <w:bottom w:val="single" w:sz="18" w:space="0" w:color="002060"/>
              <w:right w:val="single" w:sz="18" w:space="0" w:color="002060"/>
            </w:tcBorders>
            <w:shd w:val="clear" w:color="auto" w:fill="BFBFBF" w:themeFill="background1" w:themeFillShade="BF"/>
            <w:vAlign w:val="center"/>
          </w:tcPr>
          <w:p w14:paraId="556F840A" w14:textId="77777777" w:rsidR="00103CFA" w:rsidRPr="0096390A" w:rsidRDefault="00103CFA" w:rsidP="008E7C2E">
            <w:pPr>
              <w:spacing w:line="240" w:lineRule="auto"/>
              <w:ind w:right="113"/>
              <w:contextualSpacing/>
              <w:jc w:val="center"/>
              <w:rPr>
                <w:b/>
                <w:bCs/>
                <w:szCs w:val="20"/>
                <w:lang w:eastAsia="en-US" w:bidi="ar-SA"/>
              </w:rPr>
            </w:pPr>
            <w:r w:rsidRPr="0096390A">
              <w:rPr>
                <w:b/>
                <w:bCs/>
                <w:szCs w:val="20"/>
                <w:lang w:eastAsia="en-US" w:bidi="ar-SA"/>
              </w:rPr>
              <w:t>A l’échelle de la branche sectorielle / fédération / association / etc.</w:t>
            </w:r>
          </w:p>
          <w:p w14:paraId="32294B86" w14:textId="77777777" w:rsidR="00103CFA" w:rsidRPr="0096390A" w:rsidRDefault="00103CFA" w:rsidP="008E7C2E">
            <w:pPr>
              <w:spacing w:line="240" w:lineRule="auto"/>
              <w:ind w:right="113"/>
              <w:contextualSpacing/>
              <w:jc w:val="center"/>
              <w:rPr>
                <w:b/>
                <w:bCs/>
                <w:szCs w:val="20"/>
                <w:lang w:eastAsia="en-US" w:bidi="ar-SA"/>
              </w:rPr>
            </w:pPr>
            <w:r w:rsidRPr="0096390A">
              <w:rPr>
                <w:b/>
                <w:bCs/>
                <w:szCs w:val="20"/>
                <w:lang w:eastAsia="en-US" w:bidi="ar-SA"/>
              </w:rPr>
              <w:t xml:space="preserve">A l’échelle de l’entreprise </w:t>
            </w:r>
          </w:p>
        </w:tc>
      </w:tr>
      <w:tr w:rsidR="00103CFA" w:rsidRPr="0096390A" w14:paraId="4FDBB540" w14:textId="77777777" w:rsidTr="00F54738">
        <w:trPr>
          <w:gridAfter w:val="1"/>
          <w:wAfter w:w="10" w:type="dxa"/>
          <w:trHeight w:val="567"/>
        </w:trPr>
        <w:tc>
          <w:tcPr>
            <w:tcW w:w="5102" w:type="dxa"/>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2D94F4B9" w14:textId="77777777" w:rsidR="00103CFA" w:rsidRPr="0096390A" w:rsidRDefault="00103CFA" w:rsidP="008E7C2E">
            <w:pPr>
              <w:spacing w:line="240" w:lineRule="auto"/>
              <w:ind w:right="113"/>
              <w:contextualSpacing/>
              <w:jc w:val="center"/>
              <w:rPr>
                <w:b/>
                <w:bCs/>
                <w:szCs w:val="20"/>
                <w:u w:val="single"/>
                <w:lang w:eastAsia="en-US" w:bidi="ar-SA"/>
              </w:rPr>
            </w:pPr>
          </w:p>
          <w:p w14:paraId="467D21C4" w14:textId="77777777" w:rsidR="00103CFA" w:rsidRPr="0096390A" w:rsidRDefault="00103CFA" w:rsidP="008E7C2E">
            <w:pPr>
              <w:spacing w:line="240" w:lineRule="auto"/>
              <w:ind w:right="113"/>
              <w:contextualSpacing/>
              <w:jc w:val="center"/>
              <w:rPr>
                <w:szCs w:val="20"/>
                <w:u w:val="single"/>
                <w:lang w:eastAsia="en-US" w:bidi="ar-SA"/>
              </w:rPr>
            </w:pPr>
            <w:r w:rsidRPr="0096390A">
              <w:rPr>
                <w:b/>
                <w:bCs/>
                <w:szCs w:val="20"/>
                <w:u w:val="single"/>
                <w:lang w:eastAsia="en-US" w:bidi="ar-SA"/>
              </w:rPr>
              <w:t>Engagements</w:t>
            </w:r>
          </w:p>
          <w:p w14:paraId="49853DC2" w14:textId="77777777" w:rsidR="00103CFA" w:rsidRPr="0096390A" w:rsidRDefault="00103CFA" w:rsidP="008E7C2E">
            <w:pPr>
              <w:spacing w:line="240" w:lineRule="auto"/>
              <w:ind w:right="113"/>
              <w:contextualSpacing/>
              <w:jc w:val="center"/>
              <w:rPr>
                <w:szCs w:val="20"/>
                <w:u w:val="single"/>
                <w:lang w:eastAsia="en-US" w:bidi="ar-SA"/>
              </w:rPr>
            </w:pPr>
          </w:p>
        </w:tc>
        <w:tc>
          <w:tcPr>
            <w:tcW w:w="5105" w:type="dxa"/>
            <w:gridSpan w:val="2"/>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179F285A" w14:textId="77777777" w:rsidR="00103CFA" w:rsidRPr="0096390A" w:rsidRDefault="00103CFA" w:rsidP="008E7C2E">
            <w:pPr>
              <w:spacing w:line="240" w:lineRule="auto"/>
              <w:ind w:right="113"/>
              <w:contextualSpacing/>
              <w:jc w:val="center"/>
              <w:rPr>
                <w:b/>
                <w:bCs/>
                <w:szCs w:val="20"/>
                <w:u w:val="single"/>
                <w:lang w:eastAsia="en-US" w:bidi="ar-SA"/>
              </w:rPr>
            </w:pPr>
            <w:r w:rsidRPr="0096390A">
              <w:rPr>
                <w:b/>
                <w:bCs/>
                <w:szCs w:val="20"/>
                <w:u w:val="single"/>
                <w:lang w:eastAsia="en-US" w:bidi="ar-SA"/>
              </w:rPr>
              <w:t>Indicateurs</w:t>
            </w:r>
          </w:p>
        </w:tc>
      </w:tr>
      <w:tr w:rsidR="00103CFA" w:rsidRPr="0096390A" w14:paraId="68FDFC8D" w14:textId="77777777" w:rsidTr="00FF3DC2">
        <w:trPr>
          <w:gridAfter w:val="1"/>
          <w:wAfter w:w="10" w:type="dxa"/>
          <w:trHeight w:val="567"/>
        </w:trPr>
        <w:tc>
          <w:tcPr>
            <w:tcW w:w="5102" w:type="dxa"/>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3AC526B3" w14:textId="77777777" w:rsidR="00103CFA" w:rsidRPr="0096390A" w:rsidRDefault="00103CFA" w:rsidP="008E7C2E">
            <w:pPr>
              <w:spacing w:line="240" w:lineRule="auto"/>
              <w:ind w:right="113"/>
              <w:contextualSpacing/>
              <w:jc w:val="center"/>
              <w:rPr>
                <w:b/>
                <w:bCs/>
                <w:szCs w:val="20"/>
                <w:lang w:eastAsia="en-US" w:bidi="ar-SA"/>
              </w:rPr>
            </w:pPr>
          </w:p>
        </w:tc>
        <w:tc>
          <w:tcPr>
            <w:tcW w:w="5105" w:type="dxa"/>
            <w:gridSpan w:val="2"/>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386A81B0" w14:textId="77777777" w:rsidR="00103CFA" w:rsidRPr="0096390A" w:rsidRDefault="00103CFA" w:rsidP="008E7C2E">
            <w:pPr>
              <w:spacing w:line="240" w:lineRule="auto"/>
              <w:ind w:right="113"/>
              <w:contextualSpacing/>
              <w:jc w:val="center"/>
              <w:rPr>
                <w:b/>
                <w:bCs/>
                <w:szCs w:val="20"/>
                <w:lang w:eastAsia="en-US" w:bidi="ar-SA"/>
              </w:rPr>
            </w:pPr>
          </w:p>
        </w:tc>
      </w:tr>
      <w:tr w:rsidR="00103CFA" w:rsidRPr="0096390A" w14:paraId="7C9E7E97" w14:textId="77777777" w:rsidTr="00192A2B">
        <w:trPr>
          <w:gridAfter w:val="1"/>
          <w:wAfter w:w="10" w:type="dxa"/>
          <w:trHeight w:val="567"/>
        </w:trPr>
        <w:tc>
          <w:tcPr>
            <w:tcW w:w="5102" w:type="dxa"/>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72CE8F3A" w14:textId="77777777" w:rsidR="00103CFA" w:rsidRPr="0096390A" w:rsidRDefault="00103CFA" w:rsidP="008E7C2E">
            <w:pPr>
              <w:spacing w:line="240" w:lineRule="auto"/>
              <w:ind w:right="113"/>
              <w:contextualSpacing/>
              <w:jc w:val="center"/>
              <w:rPr>
                <w:b/>
                <w:bCs/>
                <w:szCs w:val="20"/>
                <w:lang w:eastAsia="en-US" w:bidi="ar-SA"/>
              </w:rPr>
            </w:pPr>
          </w:p>
        </w:tc>
        <w:tc>
          <w:tcPr>
            <w:tcW w:w="5105" w:type="dxa"/>
            <w:gridSpan w:val="2"/>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79599462" w14:textId="77777777" w:rsidR="00103CFA" w:rsidRPr="0096390A" w:rsidRDefault="00103CFA" w:rsidP="008E7C2E">
            <w:pPr>
              <w:spacing w:line="240" w:lineRule="auto"/>
              <w:ind w:right="113"/>
              <w:contextualSpacing/>
              <w:jc w:val="center"/>
              <w:rPr>
                <w:b/>
                <w:bCs/>
                <w:szCs w:val="20"/>
                <w:lang w:eastAsia="en-US" w:bidi="ar-SA"/>
              </w:rPr>
            </w:pPr>
          </w:p>
        </w:tc>
      </w:tr>
      <w:tr w:rsidR="00103CFA" w:rsidRPr="0096390A" w14:paraId="73BED595" w14:textId="77777777" w:rsidTr="009D6941">
        <w:trPr>
          <w:gridAfter w:val="1"/>
          <w:wAfter w:w="10" w:type="dxa"/>
          <w:trHeight w:val="567"/>
        </w:trPr>
        <w:tc>
          <w:tcPr>
            <w:tcW w:w="5102" w:type="dxa"/>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676B64F5" w14:textId="77777777" w:rsidR="00103CFA" w:rsidRPr="0096390A" w:rsidRDefault="00103CFA" w:rsidP="008E7C2E">
            <w:pPr>
              <w:spacing w:line="240" w:lineRule="auto"/>
              <w:ind w:right="113"/>
              <w:contextualSpacing/>
              <w:jc w:val="center"/>
              <w:rPr>
                <w:b/>
                <w:bCs/>
                <w:szCs w:val="20"/>
                <w:lang w:eastAsia="en-US" w:bidi="ar-SA"/>
              </w:rPr>
            </w:pPr>
          </w:p>
        </w:tc>
        <w:tc>
          <w:tcPr>
            <w:tcW w:w="5105" w:type="dxa"/>
            <w:gridSpan w:val="2"/>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1E0CFFD2" w14:textId="77777777" w:rsidR="00103CFA" w:rsidRPr="0096390A" w:rsidRDefault="00103CFA" w:rsidP="008E7C2E">
            <w:pPr>
              <w:spacing w:line="240" w:lineRule="auto"/>
              <w:ind w:right="113"/>
              <w:contextualSpacing/>
              <w:jc w:val="center"/>
              <w:rPr>
                <w:b/>
                <w:bCs/>
                <w:szCs w:val="20"/>
                <w:lang w:eastAsia="en-US" w:bidi="ar-SA"/>
              </w:rPr>
            </w:pPr>
          </w:p>
        </w:tc>
      </w:tr>
      <w:tr w:rsidR="00103CFA" w:rsidRPr="0096390A" w14:paraId="721FC7D3" w14:textId="77777777" w:rsidTr="008539DD">
        <w:trPr>
          <w:gridAfter w:val="1"/>
          <w:wAfter w:w="10" w:type="dxa"/>
          <w:trHeight w:val="567"/>
        </w:trPr>
        <w:tc>
          <w:tcPr>
            <w:tcW w:w="5102" w:type="dxa"/>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7B149B1A" w14:textId="77777777" w:rsidR="00103CFA" w:rsidRPr="0096390A" w:rsidRDefault="00103CFA" w:rsidP="008E7C2E">
            <w:pPr>
              <w:spacing w:line="240" w:lineRule="auto"/>
              <w:ind w:right="113"/>
              <w:contextualSpacing/>
              <w:jc w:val="center"/>
              <w:rPr>
                <w:b/>
                <w:bCs/>
                <w:szCs w:val="20"/>
                <w:lang w:eastAsia="en-US" w:bidi="ar-SA"/>
              </w:rPr>
            </w:pPr>
          </w:p>
        </w:tc>
        <w:tc>
          <w:tcPr>
            <w:tcW w:w="5105" w:type="dxa"/>
            <w:gridSpan w:val="2"/>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608F3CE3" w14:textId="77777777" w:rsidR="00103CFA" w:rsidRPr="0096390A" w:rsidRDefault="00103CFA" w:rsidP="008E7C2E">
            <w:pPr>
              <w:spacing w:line="240" w:lineRule="auto"/>
              <w:ind w:right="113"/>
              <w:contextualSpacing/>
              <w:jc w:val="center"/>
              <w:rPr>
                <w:b/>
                <w:bCs/>
                <w:szCs w:val="20"/>
                <w:lang w:eastAsia="en-US" w:bidi="ar-SA"/>
              </w:rPr>
            </w:pPr>
          </w:p>
        </w:tc>
      </w:tr>
      <w:tr w:rsidR="00103CFA" w:rsidRPr="0096390A" w14:paraId="6795EF03" w14:textId="77777777" w:rsidTr="007B6373">
        <w:trPr>
          <w:gridAfter w:val="1"/>
          <w:wAfter w:w="10" w:type="dxa"/>
          <w:trHeight w:val="567"/>
        </w:trPr>
        <w:tc>
          <w:tcPr>
            <w:tcW w:w="5102" w:type="dxa"/>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4841D10E" w14:textId="77777777" w:rsidR="00103CFA" w:rsidRPr="0096390A" w:rsidRDefault="00103CFA" w:rsidP="008E7C2E">
            <w:pPr>
              <w:spacing w:line="240" w:lineRule="auto"/>
              <w:ind w:right="113"/>
              <w:contextualSpacing/>
              <w:jc w:val="center"/>
              <w:rPr>
                <w:b/>
                <w:bCs/>
                <w:szCs w:val="20"/>
                <w:lang w:eastAsia="en-US" w:bidi="ar-SA"/>
              </w:rPr>
            </w:pPr>
          </w:p>
        </w:tc>
        <w:tc>
          <w:tcPr>
            <w:tcW w:w="5105" w:type="dxa"/>
            <w:gridSpan w:val="2"/>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1FFDD30A" w14:textId="77777777" w:rsidR="00103CFA" w:rsidRPr="0096390A" w:rsidRDefault="00103CFA" w:rsidP="008E7C2E">
            <w:pPr>
              <w:spacing w:line="240" w:lineRule="auto"/>
              <w:ind w:right="113"/>
              <w:contextualSpacing/>
              <w:jc w:val="center"/>
              <w:rPr>
                <w:b/>
                <w:bCs/>
                <w:szCs w:val="20"/>
                <w:lang w:eastAsia="en-US" w:bidi="ar-SA"/>
              </w:rPr>
            </w:pPr>
          </w:p>
        </w:tc>
      </w:tr>
      <w:tr w:rsidR="00224B7D" w:rsidRPr="0096390A" w14:paraId="4224E05A" w14:textId="77777777" w:rsidTr="008E7C2E">
        <w:trPr>
          <w:trHeight w:val="850"/>
        </w:trPr>
        <w:tc>
          <w:tcPr>
            <w:tcW w:w="10217" w:type="dxa"/>
            <w:gridSpan w:val="4"/>
            <w:tcBorders>
              <w:top w:val="single" w:sz="18" w:space="0" w:color="002060"/>
              <w:left w:val="single" w:sz="18" w:space="0" w:color="002060"/>
              <w:bottom w:val="single" w:sz="18" w:space="0" w:color="002060"/>
              <w:right w:val="single" w:sz="18" w:space="0" w:color="002060"/>
            </w:tcBorders>
            <w:shd w:val="clear" w:color="auto" w:fill="DFF1F5"/>
            <w:vAlign w:val="center"/>
          </w:tcPr>
          <w:p w14:paraId="7DFF31C2" w14:textId="77777777" w:rsidR="00224B7D" w:rsidRPr="0096390A" w:rsidRDefault="00224B7D" w:rsidP="008E7C2E">
            <w:pPr>
              <w:spacing w:line="240" w:lineRule="auto"/>
              <w:ind w:right="113"/>
              <w:contextualSpacing/>
              <w:jc w:val="center"/>
              <w:rPr>
                <w:b/>
                <w:bCs/>
                <w:szCs w:val="20"/>
                <w:lang w:eastAsia="en-US" w:bidi="ar-SA"/>
              </w:rPr>
            </w:pPr>
            <w:r w:rsidRPr="0096390A">
              <w:rPr>
                <w:b/>
                <w:bCs/>
                <w:noProof/>
                <w:szCs w:val="20"/>
                <w:lang w:eastAsia="en-US" w:bidi="ar-SA"/>
              </w:rPr>
              <w:t>AXE 5 – Autres engagements en faveur de la transition écologique</w:t>
            </w:r>
          </w:p>
        </w:tc>
      </w:tr>
      <w:tr w:rsidR="00103CFA" w:rsidRPr="0096390A" w14:paraId="11BE5BD4" w14:textId="77777777" w:rsidTr="00E64AF6">
        <w:trPr>
          <w:gridAfter w:val="1"/>
          <w:wAfter w:w="10" w:type="dxa"/>
          <w:trHeight w:val="567"/>
        </w:trPr>
        <w:tc>
          <w:tcPr>
            <w:tcW w:w="10207" w:type="dxa"/>
            <w:gridSpan w:val="3"/>
            <w:tcBorders>
              <w:top w:val="single" w:sz="18" w:space="0" w:color="auto"/>
              <w:left w:val="single" w:sz="18" w:space="0" w:color="002060"/>
              <w:bottom w:val="single" w:sz="18" w:space="0" w:color="002060"/>
              <w:right w:val="single" w:sz="18" w:space="0" w:color="002060"/>
            </w:tcBorders>
            <w:shd w:val="clear" w:color="auto" w:fill="BFBFBF" w:themeFill="background1" w:themeFillShade="BF"/>
            <w:vAlign w:val="center"/>
          </w:tcPr>
          <w:p w14:paraId="1BBFC6B9" w14:textId="77777777" w:rsidR="00103CFA" w:rsidRPr="0096390A" w:rsidRDefault="00103CFA" w:rsidP="008E7C2E">
            <w:pPr>
              <w:spacing w:line="240" w:lineRule="auto"/>
              <w:ind w:right="113"/>
              <w:contextualSpacing/>
              <w:jc w:val="center"/>
              <w:rPr>
                <w:b/>
                <w:bCs/>
                <w:szCs w:val="20"/>
                <w:lang w:eastAsia="en-US" w:bidi="ar-SA"/>
              </w:rPr>
            </w:pPr>
            <w:r w:rsidRPr="0096390A">
              <w:rPr>
                <w:b/>
                <w:bCs/>
                <w:szCs w:val="20"/>
                <w:lang w:eastAsia="en-US" w:bidi="ar-SA"/>
              </w:rPr>
              <w:t>A l’échelle de la branche sectorielle / fédération / association / etc.</w:t>
            </w:r>
          </w:p>
          <w:p w14:paraId="27375B82" w14:textId="77777777" w:rsidR="00103CFA" w:rsidRPr="0096390A" w:rsidRDefault="00103CFA" w:rsidP="008E7C2E">
            <w:pPr>
              <w:spacing w:line="240" w:lineRule="auto"/>
              <w:ind w:right="113"/>
              <w:contextualSpacing/>
              <w:jc w:val="center"/>
              <w:rPr>
                <w:b/>
                <w:bCs/>
                <w:szCs w:val="20"/>
                <w:lang w:eastAsia="en-US" w:bidi="ar-SA"/>
              </w:rPr>
            </w:pPr>
            <w:r w:rsidRPr="0096390A">
              <w:rPr>
                <w:b/>
                <w:bCs/>
                <w:szCs w:val="20"/>
                <w:lang w:eastAsia="en-US" w:bidi="ar-SA"/>
              </w:rPr>
              <w:t xml:space="preserve">A l’échelle de l’entreprise </w:t>
            </w:r>
          </w:p>
        </w:tc>
      </w:tr>
      <w:tr w:rsidR="00103CFA" w:rsidRPr="0096390A" w14:paraId="54BE14C6" w14:textId="77777777" w:rsidTr="001517FE">
        <w:trPr>
          <w:gridAfter w:val="1"/>
          <w:wAfter w:w="10" w:type="dxa"/>
          <w:trHeight w:val="567"/>
        </w:trPr>
        <w:tc>
          <w:tcPr>
            <w:tcW w:w="5102" w:type="dxa"/>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4ED58013" w14:textId="77777777" w:rsidR="00103CFA" w:rsidRPr="0096390A" w:rsidRDefault="00103CFA" w:rsidP="008E7C2E">
            <w:pPr>
              <w:spacing w:line="240" w:lineRule="auto"/>
              <w:ind w:right="113"/>
              <w:contextualSpacing/>
              <w:jc w:val="center"/>
              <w:rPr>
                <w:b/>
                <w:bCs/>
                <w:szCs w:val="20"/>
                <w:u w:val="single"/>
                <w:lang w:eastAsia="en-US" w:bidi="ar-SA"/>
              </w:rPr>
            </w:pPr>
          </w:p>
          <w:p w14:paraId="6F9F2B3F" w14:textId="77777777" w:rsidR="00103CFA" w:rsidRPr="0096390A" w:rsidRDefault="00103CFA" w:rsidP="008E7C2E">
            <w:pPr>
              <w:spacing w:line="240" w:lineRule="auto"/>
              <w:ind w:right="113"/>
              <w:contextualSpacing/>
              <w:jc w:val="center"/>
              <w:rPr>
                <w:szCs w:val="20"/>
                <w:u w:val="single"/>
                <w:lang w:eastAsia="en-US" w:bidi="ar-SA"/>
              </w:rPr>
            </w:pPr>
            <w:r w:rsidRPr="0096390A">
              <w:rPr>
                <w:b/>
                <w:bCs/>
                <w:szCs w:val="20"/>
                <w:u w:val="single"/>
                <w:lang w:eastAsia="en-US" w:bidi="ar-SA"/>
              </w:rPr>
              <w:t>Engagements</w:t>
            </w:r>
          </w:p>
          <w:p w14:paraId="484B01A1" w14:textId="77777777" w:rsidR="00103CFA" w:rsidRPr="0096390A" w:rsidRDefault="00103CFA" w:rsidP="008E7C2E">
            <w:pPr>
              <w:spacing w:line="240" w:lineRule="auto"/>
              <w:ind w:right="113"/>
              <w:contextualSpacing/>
              <w:jc w:val="center"/>
              <w:rPr>
                <w:szCs w:val="20"/>
                <w:u w:val="single"/>
                <w:lang w:eastAsia="en-US" w:bidi="ar-SA"/>
              </w:rPr>
            </w:pPr>
          </w:p>
        </w:tc>
        <w:tc>
          <w:tcPr>
            <w:tcW w:w="5105" w:type="dxa"/>
            <w:gridSpan w:val="2"/>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008A4D24" w14:textId="77777777" w:rsidR="00103CFA" w:rsidRPr="0096390A" w:rsidRDefault="00103CFA" w:rsidP="00103CFA">
            <w:pPr>
              <w:spacing w:line="240" w:lineRule="auto"/>
              <w:ind w:right="113"/>
              <w:contextualSpacing/>
              <w:jc w:val="center"/>
              <w:rPr>
                <w:b/>
                <w:bCs/>
                <w:szCs w:val="20"/>
                <w:u w:val="single"/>
                <w:lang w:eastAsia="en-US" w:bidi="ar-SA"/>
              </w:rPr>
            </w:pPr>
            <w:r w:rsidRPr="0096390A">
              <w:rPr>
                <w:b/>
                <w:bCs/>
                <w:szCs w:val="20"/>
                <w:u w:val="single"/>
                <w:lang w:eastAsia="en-US" w:bidi="ar-SA"/>
              </w:rPr>
              <w:t>Indicateurs</w:t>
            </w:r>
          </w:p>
        </w:tc>
      </w:tr>
      <w:tr w:rsidR="00103CFA" w:rsidRPr="0096390A" w14:paraId="2B2DC84F" w14:textId="77777777" w:rsidTr="009C257A">
        <w:trPr>
          <w:gridAfter w:val="1"/>
          <w:wAfter w:w="10" w:type="dxa"/>
          <w:trHeight w:val="567"/>
        </w:trPr>
        <w:tc>
          <w:tcPr>
            <w:tcW w:w="5102" w:type="dxa"/>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1B2FE0B3" w14:textId="77777777" w:rsidR="00103CFA" w:rsidRPr="0096390A" w:rsidRDefault="00103CFA" w:rsidP="008E7C2E">
            <w:pPr>
              <w:spacing w:line="240" w:lineRule="auto"/>
              <w:ind w:right="113"/>
              <w:contextualSpacing/>
              <w:jc w:val="center"/>
              <w:rPr>
                <w:b/>
                <w:bCs/>
                <w:szCs w:val="20"/>
                <w:lang w:eastAsia="en-US" w:bidi="ar-SA"/>
              </w:rPr>
            </w:pPr>
          </w:p>
        </w:tc>
        <w:tc>
          <w:tcPr>
            <w:tcW w:w="5105" w:type="dxa"/>
            <w:gridSpan w:val="2"/>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16CC0022" w14:textId="77777777" w:rsidR="00103CFA" w:rsidRPr="0096390A" w:rsidRDefault="00103CFA" w:rsidP="008E7C2E">
            <w:pPr>
              <w:spacing w:line="240" w:lineRule="auto"/>
              <w:ind w:right="113"/>
              <w:contextualSpacing/>
              <w:jc w:val="center"/>
              <w:rPr>
                <w:b/>
                <w:bCs/>
                <w:szCs w:val="20"/>
                <w:lang w:eastAsia="en-US" w:bidi="ar-SA"/>
              </w:rPr>
            </w:pPr>
          </w:p>
        </w:tc>
      </w:tr>
      <w:tr w:rsidR="00103CFA" w:rsidRPr="0096390A" w14:paraId="4A091D36" w14:textId="77777777" w:rsidTr="00927BA9">
        <w:trPr>
          <w:gridAfter w:val="1"/>
          <w:wAfter w:w="10" w:type="dxa"/>
          <w:trHeight w:val="567"/>
        </w:trPr>
        <w:tc>
          <w:tcPr>
            <w:tcW w:w="5102" w:type="dxa"/>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166A3BC5" w14:textId="77777777" w:rsidR="00103CFA" w:rsidRPr="0096390A" w:rsidRDefault="00103CFA" w:rsidP="008E7C2E">
            <w:pPr>
              <w:spacing w:line="240" w:lineRule="auto"/>
              <w:ind w:right="113"/>
              <w:contextualSpacing/>
              <w:jc w:val="center"/>
              <w:rPr>
                <w:b/>
                <w:bCs/>
                <w:szCs w:val="20"/>
                <w:lang w:eastAsia="en-US" w:bidi="ar-SA"/>
              </w:rPr>
            </w:pPr>
          </w:p>
        </w:tc>
        <w:tc>
          <w:tcPr>
            <w:tcW w:w="5105" w:type="dxa"/>
            <w:gridSpan w:val="2"/>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0483A978" w14:textId="77777777" w:rsidR="00103CFA" w:rsidRPr="0096390A" w:rsidRDefault="00103CFA" w:rsidP="008E7C2E">
            <w:pPr>
              <w:spacing w:line="240" w:lineRule="auto"/>
              <w:ind w:right="113"/>
              <w:contextualSpacing/>
              <w:jc w:val="center"/>
              <w:rPr>
                <w:b/>
                <w:bCs/>
                <w:szCs w:val="20"/>
                <w:lang w:eastAsia="en-US" w:bidi="ar-SA"/>
              </w:rPr>
            </w:pPr>
          </w:p>
        </w:tc>
      </w:tr>
      <w:tr w:rsidR="00103CFA" w:rsidRPr="0096390A" w14:paraId="553CE8B0" w14:textId="77777777" w:rsidTr="00C54A86">
        <w:trPr>
          <w:gridAfter w:val="1"/>
          <w:wAfter w:w="10" w:type="dxa"/>
          <w:trHeight w:val="567"/>
        </w:trPr>
        <w:tc>
          <w:tcPr>
            <w:tcW w:w="5102" w:type="dxa"/>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5AB2786F" w14:textId="77777777" w:rsidR="00103CFA" w:rsidRPr="0096390A" w:rsidRDefault="00103CFA" w:rsidP="008E7C2E">
            <w:pPr>
              <w:spacing w:line="240" w:lineRule="auto"/>
              <w:ind w:right="113"/>
              <w:contextualSpacing/>
              <w:jc w:val="center"/>
              <w:rPr>
                <w:b/>
                <w:bCs/>
                <w:szCs w:val="20"/>
                <w:lang w:eastAsia="en-US" w:bidi="ar-SA"/>
              </w:rPr>
            </w:pPr>
          </w:p>
        </w:tc>
        <w:tc>
          <w:tcPr>
            <w:tcW w:w="5105" w:type="dxa"/>
            <w:gridSpan w:val="2"/>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0BC30FAC" w14:textId="77777777" w:rsidR="00103CFA" w:rsidRPr="0096390A" w:rsidRDefault="00103CFA" w:rsidP="008E7C2E">
            <w:pPr>
              <w:spacing w:line="240" w:lineRule="auto"/>
              <w:ind w:right="113"/>
              <w:contextualSpacing/>
              <w:jc w:val="center"/>
              <w:rPr>
                <w:b/>
                <w:bCs/>
                <w:szCs w:val="20"/>
                <w:lang w:eastAsia="en-US" w:bidi="ar-SA"/>
              </w:rPr>
            </w:pPr>
          </w:p>
        </w:tc>
      </w:tr>
      <w:tr w:rsidR="00103CFA" w:rsidRPr="0096390A" w14:paraId="344230D9" w14:textId="77777777" w:rsidTr="00516295">
        <w:trPr>
          <w:gridAfter w:val="1"/>
          <w:wAfter w:w="10" w:type="dxa"/>
          <w:trHeight w:val="567"/>
        </w:trPr>
        <w:tc>
          <w:tcPr>
            <w:tcW w:w="5102" w:type="dxa"/>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1CB7926A" w14:textId="77777777" w:rsidR="00103CFA" w:rsidRPr="0096390A" w:rsidRDefault="00103CFA" w:rsidP="008E7C2E">
            <w:pPr>
              <w:spacing w:line="240" w:lineRule="auto"/>
              <w:ind w:right="113"/>
              <w:contextualSpacing/>
              <w:jc w:val="center"/>
              <w:rPr>
                <w:b/>
                <w:bCs/>
                <w:szCs w:val="20"/>
                <w:lang w:eastAsia="en-US" w:bidi="ar-SA"/>
              </w:rPr>
            </w:pPr>
          </w:p>
        </w:tc>
        <w:tc>
          <w:tcPr>
            <w:tcW w:w="5105" w:type="dxa"/>
            <w:gridSpan w:val="2"/>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4978A441" w14:textId="77777777" w:rsidR="00103CFA" w:rsidRPr="0096390A" w:rsidRDefault="00103CFA" w:rsidP="008E7C2E">
            <w:pPr>
              <w:spacing w:line="240" w:lineRule="auto"/>
              <w:ind w:right="113"/>
              <w:contextualSpacing/>
              <w:jc w:val="center"/>
              <w:rPr>
                <w:b/>
                <w:bCs/>
                <w:szCs w:val="20"/>
                <w:lang w:eastAsia="en-US" w:bidi="ar-SA"/>
              </w:rPr>
            </w:pPr>
          </w:p>
        </w:tc>
      </w:tr>
      <w:tr w:rsidR="00103CFA" w:rsidRPr="0096390A" w14:paraId="3B7D4377" w14:textId="77777777" w:rsidTr="00B419A1">
        <w:trPr>
          <w:gridAfter w:val="1"/>
          <w:wAfter w:w="10" w:type="dxa"/>
          <w:trHeight w:val="567"/>
        </w:trPr>
        <w:tc>
          <w:tcPr>
            <w:tcW w:w="5102" w:type="dxa"/>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6A58C980" w14:textId="77777777" w:rsidR="00103CFA" w:rsidRPr="0096390A" w:rsidRDefault="00103CFA" w:rsidP="008E7C2E">
            <w:pPr>
              <w:spacing w:line="240" w:lineRule="auto"/>
              <w:ind w:right="113"/>
              <w:contextualSpacing/>
              <w:jc w:val="center"/>
              <w:rPr>
                <w:b/>
                <w:bCs/>
                <w:szCs w:val="20"/>
                <w:lang w:eastAsia="en-US" w:bidi="ar-SA"/>
              </w:rPr>
            </w:pPr>
          </w:p>
        </w:tc>
        <w:tc>
          <w:tcPr>
            <w:tcW w:w="5105" w:type="dxa"/>
            <w:gridSpan w:val="2"/>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vAlign w:val="center"/>
          </w:tcPr>
          <w:p w14:paraId="6B371714" w14:textId="77777777" w:rsidR="00103CFA" w:rsidRPr="0096390A" w:rsidRDefault="00103CFA" w:rsidP="008E7C2E">
            <w:pPr>
              <w:spacing w:line="240" w:lineRule="auto"/>
              <w:ind w:right="113"/>
              <w:contextualSpacing/>
              <w:jc w:val="center"/>
              <w:rPr>
                <w:b/>
                <w:bCs/>
                <w:szCs w:val="20"/>
                <w:lang w:eastAsia="en-US" w:bidi="ar-SA"/>
              </w:rPr>
            </w:pPr>
          </w:p>
        </w:tc>
      </w:tr>
    </w:tbl>
    <w:p w14:paraId="4F9206F8" w14:textId="77777777" w:rsidR="00F01659" w:rsidRPr="0096390A" w:rsidRDefault="0096390A">
      <w:pPr>
        <w:rPr>
          <w:sz w:val="20"/>
          <w:szCs w:val="20"/>
        </w:rPr>
      </w:pPr>
    </w:p>
    <w:sectPr w:rsidR="00F01659" w:rsidRPr="0096390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379E9" w14:textId="77777777" w:rsidR="00040A2C" w:rsidRDefault="00040A2C" w:rsidP="00224B7D">
      <w:pPr>
        <w:spacing w:before="0" w:after="0" w:line="240" w:lineRule="auto"/>
      </w:pPr>
      <w:r>
        <w:separator/>
      </w:r>
    </w:p>
  </w:endnote>
  <w:endnote w:type="continuationSeparator" w:id="0">
    <w:p w14:paraId="36C9BBF6" w14:textId="77777777" w:rsidR="00040A2C" w:rsidRDefault="00040A2C" w:rsidP="00224B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F0EDB" w14:textId="5B147343" w:rsidR="00224B7D" w:rsidRPr="0096390A" w:rsidRDefault="00224B7D" w:rsidP="0001468A">
    <w:pPr>
      <w:jc w:val="center"/>
      <w:rPr>
        <w:rFonts w:ascii="Marianne" w:hAnsi="Marianne"/>
        <w:i/>
        <w:sz w:val="16"/>
        <w:szCs w:val="18"/>
      </w:rPr>
    </w:pPr>
    <w:r w:rsidRPr="0096390A">
      <w:rPr>
        <w:rFonts w:ascii="Marianne" w:hAnsi="Marianne"/>
        <w:i/>
        <w:sz w:val="16"/>
        <w:szCs w:val="18"/>
      </w:rPr>
      <w:t xml:space="preserve">Contrat climat </w:t>
    </w:r>
    <w:r w:rsidR="0096390A">
      <w:rPr>
        <w:rFonts w:ascii="Marianne" w:hAnsi="Marianne"/>
        <w:i/>
        <w:sz w:val="16"/>
        <w:szCs w:val="18"/>
      </w:rPr>
      <w:t>–</w:t>
    </w:r>
    <w:r w:rsidRPr="0096390A">
      <w:rPr>
        <w:rFonts w:ascii="Marianne" w:hAnsi="Marianne"/>
        <w:i/>
        <w:sz w:val="16"/>
        <w:szCs w:val="18"/>
      </w:rPr>
      <w:t xml:space="preserve"> </w:t>
    </w:r>
    <w:r w:rsidR="0096390A">
      <w:rPr>
        <w:rFonts w:ascii="Marianne" w:hAnsi="Marianne"/>
        <w:i/>
        <w:sz w:val="16"/>
        <w:szCs w:val="18"/>
      </w:rPr>
      <w:t>modèle de septembre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CBFDA" w14:textId="77777777" w:rsidR="00040A2C" w:rsidRDefault="00040A2C" w:rsidP="00224B7D">
      <w:pPr>
        <w:spacing w:before="0" w:after="0" w:line="240" w:lineRule="auto"/>
      </w:pPr>
      <w:r>
        <w:separator/>
      </w:r>
    </w:p>
  </w:footnote>
  <w:footnote w:type="continuationSeparator" w:id="0">
    <w:p w14:paraId="433A688A" w14:textId="77777777" w:rsidR="00040A2C" w:rsidRDefault="00040A2C" w:rsidP="00224B7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B62"/>
    <w:multiLevelType w:val="hybridMultilevel"/>
    <w:tmpl w:val="7BEEE70A"/>
    <w:lvl w:ilvl="0" w:tplc="8BD2943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C401545"/>
    <w:multiLevelType w:val="multilevel"/>
    <w:tmpl w:val="47306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82B61"/>
    <w:multiLevelType w:val="multilevel"/>
    <w:tmpl w:val="B52E15E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AC751B"/>
    <w:multiLevelType w:val="multilevel"/>
    <w:tmpl w:val="6CEC27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35386E"/>
    <w:multiLevelType w:val="hybridMultilevel"/>
    <w:tmpl w:val="4028C47A"/>
    <w:lvl w:ilvl="0" w:tplc="E056CF2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5D7342"/>
    <w:multiLevelType w:val="multilevel"/>
    <w:tmpl w:val="AFE0D1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DC3E5A"/>
    <w:multiLevelType w:val="multilevel"/>
    <w:tmpl w:val="8AFAF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8660A1"/>
    <w:multiLevelType w:val="hybridMultilevel"/>
    <w:tmpl w:val="B7BAC7F8"/>
    <w:lvl w:ilvl="0" w:tplc="E056CF2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5CB380A"/>
    <w:multiLevelType w:val="hybridMultilevel"/>
    <w:tmpl w:val="349A442E"/>
    <w:lvl w:ilvl="0" w:tplc="AB0EEC6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3"/>
  </w:num>
  <w:num w:numId="5">
    <w:abstractNumId w:val="5"/>
  </w:num>
  <w:num w:numId="6">
    <w:abstractNumId w:val="6"/>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B7D"/>
    <w:rsid w:val="000042A6"/>
    <w:rsid w:val="0001468A"/>
    <w:rsid w:val="00040A2C"/>
    <w:rsid w:val="000B6940"/>
    <w:rsid w:val="00103CFA"/>
    <w:rsid w:val="00224B7D"/>
    <w:rsid w:val="00274642"/>
    <w:rsid w:val="00333431"/>
    <w:rsid w:val="00666660"/>
    <w:rsid w:val="008C51BE"/>
    <w:rsid w:val="0096390A"/>
    <w:rsid w:val="00CD5CCF"/>
    <w:rsid w:val="00E53B15"/>
    <w:rsid w:val="00FC40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38EFA"/>
  <w15:chartTrackingRefBased/>
  <w15:docId w15:val="{1D205DB1-20F9-48A0-A366-1E824863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B7D"/>
    <w:pPr>
      <w:spacing w:before="60" w:after="60" w:line="288" w:lineRule="auto"/>
      <w:jc w:val="both"/>
    </w:pPr>
    <w:rPr>
      <w:rFonts w:ascii="Arial" w:eastAsia="Calibri" w:hAnsi="Arial" w:cs="Arial"/>
      <w:szCs w:val="24"/>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224B7D"/>
    <w:pPr>
      <w:ind w:left="720"/>
      <w:contextualSpacing/>
    </w:pPr>
  </w:style>
  <w:style w:type="character" w:styleId="Lienhypertexte">
    <w:name w:val="Hyperlink"/>
    <w:basedOn w:val="Policepardfaut"/>
    <w:uiPriority w:val="99"/>
    <w:unhideWhenUsed/>
    <w:rsid w:val="00224B7D"/>
    <w:rPr>
      <w:color w:val="0000FF"/>
      <w:u w:val="single"/>
    </w:rPr>
  </w:style>
  <w:style w:type="character" w:customStyle="1" w:styleId="ParagraphedelisteCar">
    <w:name w:val="Paragraphe de liste Car"/>
    <w:basedOn w:val="Policepardfaut"/>
    <w:link w:val="Paragraphedeliste"/>
    <w:uiPriority w:val="34"/>
    <w:rsid w:val="00224B7D"/>
    <w:rPr>
      <w:rFonts w:ascii="Arial" w:eastAsia="Calibri" w:hAnsi="Arial" w:cs="Arial"/>
      <w:szCs w:val="24"/>
      <w:lang w:eastAsia="fr-FR" w:bidi="fr-FR"/>
    </w:rPr>
  </w:style>
  <w:style w:type="table" w:customStyle="1" w:styleId="Grilledutableau1">
    <w:name w:val="Grille du tableau1"/>
    <w:basedOn w:val="TableauNormal"/>
    <w:next w:val="Grilledutableau"/>
    <w:uiPriority w:val="59"/>
    <w:rsid w:val="00224B7D"/>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224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24B7D"/>
    <w:pPr>
      <w:tabs>
        <w:tab w:val="center" w:pos="4536"/>
        <w:tab w:val="right" w:pos="9072"/>
      </w:tabs>
      <w:spacing w:before="0" w:after="0" w:line="240" w:lineRule="auto"/>
    </w:pPr>
  </w:style>
  <w:style w:type="character" w:customStyle="1" w:styleId="En-tteCar">
    <w:name w:val="En-tête Car"/>
    <w:basedOn w:val="Policepardfaut"/>
    <w:link w:val="En-tte"/>
    <w:uiPriority w:val="99"/>
    <w:rsid w:val="00224B7D"/>
    <w:rPr>
      <w:rFonts w:ascii="Arial" w:eastAsia="Calibri" w:hAnsi="Arial" w:cs="Arial"/>
      <w:szCs w:val="24"/>
      <w:lang w:eastAsia="fr-FR" w:bidi="fr-FR"/>
    </w:rPr>
  </w:style>
  <w:style w:type="paragraph" w:styleId="Pieddepage">
    <w:name w:val="footer"/>
    <w:basedOn w:val="Normal"/>
    <w:link w:val="PieddepageCar"/>
    <w:uiPriority w:val="99"/>
    <w:unhideWhenUsed/>
    <w:rsid w:val="00224B7D"/>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224B7D"/>
    <w:rPr>
      <w:rFonts w:ascii="Arial" w:eastAsia="Calibri" w:hAnsi="Arial" w:cs="Arial"/>
      <w:szCs w:val="24"/>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ublicite-responsable.ecologie.gouv.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4160</Words>
  <Characters>22882</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26989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KYPREOS Théodora</dc:creator>
  <cp:keywords/>
  <dc:description/>
  <cp:lastModifiedBy>KYPREOS Théodora</cp:lastModifiedBy>
  <cp:revision>2</cp:revision>
  <dcterms:created xsi:type="dcterms:W3CDTF">2023-09-29T12:50:00Z</dcterms:created>
  <dcterms:modified xsi:type="dcterms:W3CDTF">2023-09-29T12:50:00Z</dcterms:modified>
</cp:coreProperties>
</file>